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GP-08 — Ce que coûte une subdivision de plus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GP4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REF-077, REF-078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Anticiper la croissance d'une surface de subdivision, et choisir le niveau d'affichage en connaissance de cause.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Anticiper la croissance d'une surface de subdivision, et choisir le niveau d'affichage en connaissance de cause.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cage de subdivision est légère et se manipule bien. C'est l'affichage lissé qui fait ramer la machine.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cage compte 26 faces. Chaque passe de subdivision remplace chaque face par quatre. Donnez le nombre de faces après trois passes.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faces de la cage et le nombre de passes.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1 664 faces après trois passes.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faces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GP-08 — Ce que coûte une subdivision de plus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