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IA-13 — Ce qui quitte le poste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IA7 · Vérification, licences et limites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REF-140, REF-141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projet est couvert par un accord de confidentialité et l'équipe emploie un assistant en ligne.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collez dans un assistant en ligne un extrait de définition pour le faire corriger. Que faut-il considérer comme transmis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Rien : le code n'est pas une donnée de projet.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Le code seul, sans les valeurs qu'il contient.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Tout ce qui est collé, valeurs internalisées, noms de calques et commentaires compris.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Rien tant qu'on ne coche pas une case de partage.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(b) est la représentation la plus répandue et la plus risquée — les cotes, les repères et les noms de projet voyagent avec le code, souvent sans qu'on y pense. Poser la question avant la première utilisation coûte quelques minutes ; la poser après une fuite ne sert plus à rien.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IA-13_complet.gh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241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3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24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IA-13 — Ce qui quitte le poste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