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IA-15 — Relire le graphe qu'un agent a construit</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IA7 · Agents et protocoles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REF-137</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Confronter le graphe produit par un agent à la spécification qu'on lui avait donnée, et compter ce qui diverge — plutôt que de juger sur l'aperçu.</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Évaluer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IA-12</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Confronter le graphe produit par un agent à la spécification qu'on lui avait donnée, et compter ce qui diverge.</w:t>
      </w:r>
    </w:p>
    <w:p>
      <w:pPr>
        <w:spacing w:before="200" w:after="60"/>
      </w:pPr>
      <w:r>
        <w:rPr>
          <w:rFonts w:ascii="Calibri" w:hAnsi="Calibri"/>
          <w:b/>
          <w:color w:val="444A52"/>
          <w:sz w:val="22"/>
        </w:rPr>
        <w:t>Contexte</w:t>
      </w:r>
    </w:p>
    <w:p>
      <w:pPr>
        <w:spacing w:before="0" w:after="80"/>
      </w:pPr>
      <w:r>
        <w:rPr>
          <w:rFonts w:ascii="Calibri" w:hAnsi="Calibri"/>
          <w:b w:val="0"/>
          <w:i w:val="0"/>
          <w:sz w:val="21"/>
        </w:rPr>
        <w:t>L'agent a construit la définition en trente secondes. L'aperçu montre un volume plausible. C'est précisément le moment où l'on ne vérifie pas.</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Vous aviez spécifié neuf liaisons, chacune avec son entrée de destination. Le relevé du graphe produit vous est fourni en regard. Donnez le nombre de liaisons qui ne sont pas conformes à la spécification.</w:t>
            </w:r>
          </w:p>
        </w:tc>
      </w:tr>
    </w:tbl>
    <w:p>
      <w:pPr>
        <w:spacing w:after="0"/>
      </w:pPr>
    </w:p>
    <w:p>
      <w:pPr>
        <w:spacing w:before="80" w:after="40"/>
        <w:jc w:val="center"/>
      </w:pPr>
      <w:r>
        <w:drawing>
          <wp:inline xmlns:a="http://schemas.openxmlformats.org/drawingml/2006/main" xmlns:pic="http://schemas.openxmlformats.org/drawingml/2006/picture">
            <wp:extent cx="5903999" cy="2745822"/>
            <wp:docPr id="1" name="Picture 1"/>
            <wp:cNvGraphicFramePr>
              <a:graphicFrameLocks noChangeAspect="1"/>
            </wp:cNvGraphicFramePr>
            <a:graphic>
              <a:graphicData uri="http://schemas.openxmlformats.org/drawingml/2006/picture">
                <pic:pic>
                  <pic:nvPicPr>
                    <pic:cNvPr id="0" name="IA-15_canvas_sujet.png"/>
                    <pic:cNvPicPr/>
                  </pic:nvPicPr>
                  <pic:blipFill>
                    <a:blip r:embed="rId10"/>
                    <a:stretch>
                      <a:fillRect/>
                    </a:stretch>
                  </pic:blipFill>
                  <pic:spPr>
                    <a:xfrm>
                      <a:off x="0" y="0"/>
                      <a:ext cx="5903999" cy="2745822"/>
                    </a:xfrm>
                    <a:prstGeom prst="rect"/>
                  </pic:spPr>
                </pic:pic>
              </a:graphicData>
            </a:graphic>
          </wp:inline>
        </w:drawing>
      </w:r>
    </w:p>
    <w:p>
      <w:pPr>
        <w:spacing w:after="160"/>
        <w:jc w:val="center"/>
      </w:pPr>
      <w:r>
        <w:rPr>
          <w:rFonts w:ascii="Calibri" w:hAnsi="Calibri"/>
          <w:i/>
          <w:color w:val="444A52"/>
          <w:sz w:val="18"/>
        </w:rPr>
        <w:t>Le canvas à l'ouverture de IA-15_sujet.gh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neuf liaisons demandées et les neuf liaisons produites, chacune avec l'indice de l'entrée de destination.</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3 — trois liaisons aboutissent sur une autre entrée que celle demandée.</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nombre de divergences est juste.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IA-15_complet.gh,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4926149"/>
            <wp:docPr id="2" name="Picture 2"/>
            <wp:cNvGraphicFramePr>
              <a:graphicFrameLocks noChangeAspect="1"/>
            </wp:cNvGraphicFramePr>
            <a:graphic>
              <a:graphicData uri="http://schemas.openxmlformats.org/drawingml/2006/picture">
                <pic:pic>
                  <pic:nvPicPr>
                    <pic:cNvPr id="0" name="IA-15_canvas_corrige.png"/>
                    <pic:cNvPicPr/>
                  </pic:nvPicPr>
                  <pic:blipFill>
                    <a:blip r:embed="rId11"/>
                    <a:stretch>
                      <a:fillRect/>
                    </a:stretch>
                  </pic:blipFill>
                  <pic:spPr>
                    <a:xfrm>
                      <a:off x="0" y="0"/>
                      <a:ext cx="5903999" cy="492614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Mettre les deux relevés en regard, liaison par liaison.</w:t>
      </w:r>
    </w:p>
    <w:p>
      <w:pPr>
        <w:spacing w:after="100"/>
        <w:ind w:left="340"/>
      </w:pPr>
      <w:r>
        <w:rPr>
          <w:rFonts w:ascii="Calibri" w:hAnsi="Calibri"/>
          <w:b/>
          <w:color w:val="2E5C8A"/>
          <w:sz w:val="21"/>
        </w:rPr>
        <w:t xml:space="preserve">Étape 2.  </w:t>
      </w:r>
      <w:r>
        <w:rPr>
          <w:rFonts w:ascii="Calibri" w:hAnsi="Calibri"/>
          <w:sz w:val="21"/>
        </w:rPr>
        <w:t>Comparer les indices d'entrée, et non les seuls noms.</w:t>
      </w:r>
    </w:p>
    <w:p>
      <w:pPr>
        <w:spacing w:after="100"/>
        <w:ind w:left="340"/>
      </w:pPr>
      <w:r>
        <w:rPr>
          <w:rFonts w:ascii="Calibri" w:hAnsi="Calibri"/>
          <w:b/>
          <w:color w:val="2E5C8A"/>
          <w:sz w:val="21"/>
        </w:rPr>
        <w:t xml:space="preserve">Étape 3.  </w:t>
      </w:r>
      <w:r>
        <w:rPr>
          <w:rFonts w:ascii="Calibri" w:hAnsi="Calibri"/>
          <w:sz w:val="21"/>
        </w:rPr>
        <w:t>Compter les désaccords.</w:t>
      </w:r>
    </w:p>
    <w:p>
      <w:pPr>
        <w:spacing w:after="100"/>
        <w:ind w:left="340"/>
      </w:pPr>
      <w:r>
        <w:rPr>
          <w:rFonts w:ascii="Calibri" w:hAnsi="Calibri"/>
          <w:b/>
          <w:color w:val="2E5C8A"/>
          <w:sz w:val="21"/>
        </w:rPr>
        <w:t xml:space="preserve">Étape 4.  </w:t>
      </w:r>
      <w:r>
        <w:rPr>
          <w:rFonts w:ascii="Calibri" w:hAnsi="Calibri"/>
          <w:sz w:val="21"/>
        </w:rPr>
        <w:t>Ne conclure à la conformité qu'après avoir aussi vérifié qu'aucune liaison ne manque.</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Compter les liaisons manquantes, et n'en trouver aucune : les neuf liaisons existent bien, et le graphe est complet. Ce qui diffère est leur POINT D'ARRIVÉE. Un graphe complet peut être entièrement faux, et il produit alors un résultat — donc un aperçu — parfaitement crédible.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Comparer les noms des composants et s'arrêter là.</w:t>
      </w:r>
    </w:p>
    <w:p>
      <w:pPr>
        <w:spacing w:after="60"/>
        <w:ind w:left="340"/>
      </w:pPr>
      <w:r>
        <w:rPr>
          <w:rFonts w:ascii="Calibri" w:hAnsi="Calibri"/>
          <w:sz w:val="21"/>
        </w:rPr>
        <w:t>•  Se fier à l'aperçu, qui est plausible.</w:t>
      </w:r>
    </w:p>
    <w:p>
      <w:pPr>
        <w:spacing w:after="60"/>
        <w:ind w:left="340"/>
      </w:pPr>
      <w:r>
        <w:rPr>
          <w:rFonts w:ascii="Calibri" w:hAnsi="Calibri"/>
          <w:sz w:val="21"/>
        </w:rPr>
        <w:t>•  Conclure de « neuf liaisons des deux côtés » à « graphe conforme ».</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Nombre, Equality, Cull Pattern, List Length,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Les trois divergences aboutissent toutes sur l'entrée d'indice 0, et c'est la panne réelle des ponts agentiques : beaucoup d'implémentations ignorent silencieusement l'indice demandé et écrivent sur la première entrée. Le graphe se construit, ne signale rien, et calcule autre chose. Neuf liaisons est un format assez court pour se vérifier à la main, assez long pour qu'on ne le fasse pas.</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L'exercice compte les écarts de câblage. Il ne dit rien des valeurs, des types ni des composants choisis — un graphe conforme au câblage près peut encore être faux. Compter est la première vérification, pas la seule.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Reprendre la spécification et faire corriger l'agent, puis recompter.</w:t>
      </w:r>
    </w:p>
    <w:p>
      <w:pPr>
        <w:spacing w:after="60"/>
        <w:ind w:left="340"/>
      </w:pPr>
      <w:r>
        <w:rPr>
          <w:rFonts w:ascii="Calibri" w:hAnsi="Calibri"/>
          <w:sz w:val="21"/>
        </w:rPr>
        <w:t>•  Écrire la vérification comme une étape automatique du pont, exécutée après chaque construction.</w:t>
      </w:r>
    </w:p>
    <w:p>
      <w:pPr>
        <w:spacing w:before="200" w:after="60"/>
      </w:pPr>
      <w:r>
        <w:rPr>
          <w:rFonts w:ascii="Calibri" w:hAnsi="Calibri"/>
          <w:b/>
          <w:color w:val="444A52"/>
          <w:sz w:val="22"/>
        </w:rPr>
        <w:t>Fichiers de cet exercice</w:t>
      </w:r>
    </w:p>
    <w:p>
      <w:pPr>
        <w:spacing w:after="60"/>
        <w:ind w:left="340"/>
      </w:pPr>
      <w:r>
        <w:rPr>
          <w:rFonts w:ascii="Calibri" w:hAnsi="Calibri"/>
          <w:sz w:val="21"/>
        </w:rPr>
        <w:t>•  IA-15_sujet.gh — énoncé et données de départ, sans le corrigé</w:t>
      </w:r>
    </w:p>
    <w:p>
      <w:pPr>
        <w:spacing w:after="60"/>
        <w:ind w:left="340"/>
      </w:pPr>
      <w:r>
        <w:rPr>
          <w:rFonts w:ascii="Calibri" w:hAnsi="Calibri"/>
          <w:sz w:val="21"/>
        </w:rPr>
        <w:t>•  IA-15_complet.gh — énoncé et corrigé, ce dernier commandé par l'interrupteur</w:t>
      </w:r>
    </w:p>
    <w:p>
      <w:pPr>
        <w:spacing w:after="60"/>
        <w:ind w:left="340"/>
      </w:pPr>
      <w:r>
        <w:rPr>
          <w:rFonts w:ascii="Calibri" w:hAnsi="Calibri"/>
          <w:sz w:val="21"/>
        </w:rPr>
        <w:t>•  IA-15.json — descripteur pour le plugin Magpie</w:t>
      </w:r>
    </w:p>
    <w:p>
      <w:pPr>
        <w:spacing w:after="60"/>
        <w:ind w:left="340"/>
      </w:pPr>
      <w:r>
        <w:rPr>
          <w:rFonts w:ascii="Calibri" w:hAnsi="Calibri"/>
          <w:sz w:val="21"/>
        </w:rPr>
        <w:t>•  IA-15_fiche.docx — la présente fiche</w:t>
      </w:r>
    </w:p>
    <w:p>
      <w:pPr>
        <w:spacing w:after="60"/>
        <w:ind w:left="340"/>
      </w:pPr>
      <w:r>
        <w:rPr>
          <w:rFonts w:ascii="Calibri" w:hAnsi="Calibri"/>
          <w:sz w:val="21"/>
        </w:rPr>
        <w:t>•  IA-15_fiche_sujet.docx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IA-15 — Relire le graphe qu'un agent a construit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