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IA-18 — Ce qu'une image générée ne vous donne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a apporté une image générée qui lui plaît beaucoup, et demande « le même » en trois dimensions.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apporte une image générée et demande le modèle correspondant. Qu'en tirez-vous réellement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Une géométrie, qu'un outil de reconstruction saura extraire.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Rien d'exploitable : mieux vaut repartir d'un croquis.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Une référence de style, à condition d'en avoir les droits.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Une intention de forme et de matière, à traduire en cotes et en constructibilité.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l'erreur coûteuse — les outils de reconstruction rendent une surface, jamais des cotes, et une image générée n'a aucune raison d'être cohérente d'une vue à l'autre. (b) jette ce qui a de la valeur : l'image dit une intention, et c'est beaucoup. (c) est un vrai sujet, mais il vient après. Ce que l'image ne porte pas est ce qui fait le projet : dimensions, épaisseurs, assemblages, et la question de savoir si cela tient debout.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IA-18_complet.gh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8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IA-18 — Ce qu'une image générée ne vous donne pas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