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PL-11 — Deux familles de plugins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 · Écosystème de plugins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REF-031, REF-034, REF-035, REF-036, REF-037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r>
    </w:p>
    <w:p>
      <w:pPr>
        <w:spacing w:before="200" w:after="60"/>
      </w:pPr>
      <w:r>
        <w:rPr>
          <w:rFonts w:ascii="Calibri" w:hAnsi="Calibri"/>
          <w:b/>
          <w:color w:val="444A52"/>
          <w:sz w:val="22"/>
        </w:rPr>
        <w:t>Contexte</w:t>
      </w:r>
    </w:p>
    <w:p>
      <w:pPr>
        <w:spacing w:before="0" w:after="80"/>
      </w:pPr>
      <w:r>
        <w:rPr>
          <w:rFonts w:ascii="Calibri" w:hAnsi="Calibri"/>
          <w:b w:val="0"/>
          <w:i w:val="0"/>
          <w:sz w:val="21"/>
        </w:rPr>
        <w:t>Certains plugins ajoutent des composants ; d'autres ne changent que la façon dont on travaille.</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Qu'est-ce qui sépare un plugin d'ERGONOMIE d'un plugin FONCTIONNEL, pour celui qui recevra votre définition ?</w:t>
      </w:r>
    </w:p>
    <w:p>
      <w:pPr>
        <w:spacing w:before="0" w:after="80"/>
      </w:pPr>
      <w:r>
        <w:rPr>
          <w:rFonts w:ascii="Calibri" w:hAnsi="Calibri"/>
          <w:b w:val="0"/>
          <w:i w:val="0"/>
          <w:sz w:val="21"/>
        </w:rPr>
        <w:t>a) L'ergonomie est gratuite, le fonctionnel est payant.</w:t>
      </w:r>
    </w:p>
    <w:p>
      <w:pPr>
        <w:spacing w:before="0" w:after="80"/>
      </w:pPr>
      <w:r>
        <w:rPr>
          <w:rFonts w:ascii="Calibri" w:hAnsi="Calibri"/>
          <w:b w:val="0"/>
          <w:i w:val="0"/>
          <w:sz w:val="21"/>
        </w:rPr>
        <w:t>b) L'ergonomie est réservée aux débutants.</w:t>
      </w:r>
    </w:p>
    <w:p>
      <w:pPr>
        <w:spacing w:before="0" w:after="80"/>
      </w:pPr>
      <w:r>
        <w:rPr>
          <w:rFonts w:ascii="Calibri" w:hAnsi="Calibri"/>
          <w:b w:val="0"/>
          <w:i w:val="0"/>
          <w:sz w:val="21"/>
        </w:rPr>
        <w:t>c) Le fonctionnel est plus lourd à installer.</w:t>
      </w:r>
    </w:p>
    <w:p>
      <w:pPr>
        <w:spacing w:before="0" w:after="80"/>
      </w:pPr>
      <w:r>
        <w:rPr>
          <w:rFonts w:ascii="Calibri" w:hAnsi="Calibri"/>
          <w:b w:val="0"/>
          <w:i w:val="0"/>
          <w:sz w:val="21"/>
        </w:rPr>
        <w:t>d) L'ergonomie ne laisse aucune trace dans le fichier livré ; le fonctionnel devient une dépendance. ← réponse</w:t>
      </w:r>
    </w:p>
    <w:p>
      <w:pPr>
        <w:spacing w:before="0" w:after="80"/>
      </w:pPr>
      <w:r>
        <w:rPr>
          <w:rFonts w:ascii="Calibri" w:hAnsi="Calibri"/>
          <w:b/>
          <w:i w:val="0"/>
          <w:sz w:val="21"/>
        </w:rPr>
        <w:t>Valeur diagnostique : la question ne porte pas sur ce que le plugin fait pour VOUS, mais sur ce qu'il impose à l'autre. Un plugin qui aligne, colore ou affiche les noms peut être désinstallé sans qu'aucune définition cesse de fonctionner. Un plugin qui ajoute un composant est dans le fichier, et le suit partout — c'est ce que PL-06 mesure.</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PL-11_complet.gh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6429355"/>
            <wp:docPr id="1" name="Picture 1"/>
            <wp:cNvGraphicFramePr>
              <a:graphicFrameLocks noChangeAspect="1"/>
            </wp:cNvGraphicFramePr>
            <a:graphic>
              <a:graphicData uri="http://schemas.openxmlformats.org/drawingml/2006/picture">
                <pic:pic>
                  <pic:nvPicPr>
                    <pic:cNvPr id="0" name="PL-11_canvas_corrige.png"/>
                    <pic:cNvPicPr/>
                  </pic:nvPicPr>
                  <pic:blipFill>
                    <a:blip r:embed="rId10"/>
                    <a:stretch>
                      <a:fillRect/>
                    </a:stretch>
                  </pic:blipFill>
                  <pic:spPr>
                    <a:xfrm>
                      <a:off x="0" y="0"/>
                      <a:ext cx="5903999" cy="6429355"/>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PL-11 — Deux familles de plugins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