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— le nombre de points sur le calque des porteurs.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Créer les deux calques, « PORTEURS » et « CLOISONS », avant toute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Isoler les porteurs par leur régularité — un réseau de sélection ou une fenêtre suffit — et les déplacer sur leur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qu'il ne reste rien sur le calque d'origine.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pointer la définition sur le calque des porteurs, pas sur une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que le compte tombe à 12.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Sélectionner les porteurs à la main dans la vue plutôt que de les isoler sur un calque. Le compte est juste aujourd'hui, et faux dès que le géomètre livre une mise à jour — ce que l'exercice ne montre qu'à la seconde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Masquer les cloisons au lieu de les déplacer : elles restent sur le calque et la définition les reprend quand même.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calques après coup : le lien de la définition se fait sur le nom, un renommage le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porteurs forment une trame régulière de 5 400 × 6 200 mm, les cloisons sont décalées à mi-portée. La distinction est lisible à l'œil dans la vue, ce qui rend le tri manuel tentant — et c'est justement le piège.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deux porteurs dans Rhino et vérifier que le compte suit tout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les porteurs par un filtre sur la couleur plutôt que sur le calque, et juger ce qui est le plus robuste.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