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03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Encadrer la pièce pour obtenir ses trois dimensions hors tout.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disponible sur chacun des trois axes.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petit des trois : c'est lui qui limite.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vers le bas, jamais au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Contrôler, après mise à l'échelle, que la paroi la plus fine reste au-dessus de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facteur au plus proche plutôt qu'au inférieur. À 0,005 près, la pièce dépasse — et la machine s'en aperçoit après trois heures d'impression, pas avant. Le contexte impose le sens de l'arrondi, comme en A-06.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des trois rapports.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mise à l'échelle réduit aussi les parois : une pièce qui rentre peut devenir non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Bounding Box, Deconstruct Brep,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rapports valent 0,579, 0,846 et 1,282 : le troisième axe passerait sans réduction, et prendre la moyenne des trois donnerait 0,90 — une pièce qui ne rentre pas. C'est le plus petit qui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pivoter la pièce de 90° et voir si le facteur s'améliore.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marge de 2 mm sur chaque axe et refaire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