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RH-10 — Ce que l'export STL perd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RH5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pièce parfaitement lisse dans Rhino ressort facettée de l'imprimante.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Votre cylindre est parfait dans Rhino, et il sort facetté de l'imprimante. Pourquoi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Le format STL ne connaît que des triangles : la conversion a échantillonné la surface, et la finesse de cet échantillonnage est un réglage.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L'imprimante n'est pas assez précise.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Le fichier a été enregistré en basse résolution.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Il fallait exporter en OBJ.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(b) fait accuser la machine et acheter du matériel qui ne changera rien. (d) est faux pour la même raison — l'OBJ maille aussi. La bonne réponse déplace l'attention vers le seul endroit où l'on peut agir : les réglages de maillage au moment de l'export.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RH-10_complet.gh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0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RH-10 — Ce que l'export STL perd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