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WB-03 — Rhino sans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WB3 · Interopérabilité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REF-111, REF-112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application métier doit exploiter la géométrie de Rhino sans que l'utilisateur ouvre Rhino.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voulez faire tourner une définition Grasshopper depuis une application web, sans interface Rhino. Que cherchez-vous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Rhino.Compute, qui expose le moteur de calcul comme un service appelable à distance.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Rhino.Inside, qui charge Rhino dans un autre logiciel hôte.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Un export en maillage, qui suffit toujours.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Les deux font la même chose.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et (d) confondent deux réponses à deux besoins différents — Rhino.Inside fait cohabiter Rhino avec Revit ou AutoCAD sur le même poste ; Rhino.Compute met le moteur au bout d'un appel réseau. Se tromper de l'un pour l'autre fait partir sur une architecture entière qu'il faudra défaire.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WB-03_complet.gh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3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WB-03 — Rhino sans Rhino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