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WB-04 — Ce qu'on expose, et ce qu'on cache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WB1 · Interfaces utilisateur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Distinguer, parmi les entrées d'une définition, celles qui relèvent d'un choix de l'utilisateur de celles qui se déduisent ou qui règlent l'outil.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Distinguer, parmi les entrées d'une définition, celles qui relèvent d'un choix de l'utilisateur de celles qui se déduisent ou qui règlent l'outil.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va être pilotée depuis Rhino par quelqu'un qui n'ouvrira jamais le graphe. Tout ce qu'on expose, il faudra le lui expliquer ; tout ce qu'on cache, il ne pourra plus le régler.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définition du meuble compte quatorze entrées, décrites une à une avec ce qu'elles commandent et ce dont elles dépendent. Donnez le nombre d'entrées à exposer dans l'interface.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des quatorze entrées et leur description.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— les six entrées qui relèvent d'un choix du client.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WB-04 — Ce qu'on expose, et ce qu'on cache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