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WB-06 — Le poids du modèle que l'on télécharge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WB2 · Publication web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REF-109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Prévoir le poids d'un fichier d'échange à partir de la structure du maillage exporté, avant de le proposer au téléchargement.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WB-02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Prévoir le poids d'un fichier d'échange à partir de la structure du maillage exporté, avant de le proposer au téléchargement.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configurateur propose le téléchargement du modèle. Le fichier part souvent sur une connexion mobile : son poids se prévoit avant de le produire, pas après.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maillage d'aperçu compte 24 310 faces quadrangulaires. Vous l'exportez dans un format binaire qui ne stocke que des triangles, avec un en-tête de 84 octets et 50 octets par facette. Donnez le poids du fichier, en octets.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17914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B-06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791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WB-06_sujet.gh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nombre de faces du maillage, leur nature, et la structure du format d'export.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2 431 084 octets — soit 2,32 Mio.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poids en octets est juste.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WB-06 — Le poids du modèle que l'on télécharge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