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WB-09 — Ce que le format transporte, et ce qu'il perd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Choisir un format d'échange sur ce qu'il transporte réellement, et non sur le fait que le fichier s'ouvre.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Choisir un format d'échange sur ce qu'il transporte réellement, et non sur le fait que le fichier s'ouvre.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modèle part chez le bureau d'études, qui a besoin des courbes, des calques et des unités. Un fichier qui s'ouvre n'est pas un échange réussi.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des six formats vous est fourni, avec ce que chacun transporte. L'échange exige la géométrie, les unités, les calques et les courbes. Donnez le nombre de formats qui conviennent.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33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3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six formats et, pour chacun, ce qu'il transporte.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formats répondent aux quatre exigences.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formats convenables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0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Ne retenir que les colonnes exigées par l'échange.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Pour chaque format, exiger qu'elles soient TOUTES vraies.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Retenir tout format qui transporte la géométrie : les six conviennent alors. Le fichier s'ouvrira, la forme sera là, et le bureau d'études redemandera les calques et les unités — c'est-à-dire la moitié du travail de mise en ordre.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Se contenter de la géométrie.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Traiter la liste des exigences comme un « au moins un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Booléen, Gate And,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formats, dont trois répondent aux quatre exigences et deux échouent sur un seul critère. Les réponses fausses plausibles — 6 si l'on ne regarde que la géométrie, 5 si l'on oublie les courbes — sont distinctes de 3.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tableau dit ce que le format PEUT porter. Ce qu'il porte effectivement dépend aussi de l'exportateur et de l'importateur — deux logiciels qui parlent le même format peuvent ne pas s'entendre.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Nommer les formats écartés et le critère qui les écarte.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choix pour un échange qui exigerait les matières.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WB-09 — Ce que le format transporte, et ce qu'il perd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