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WB-09 — Ce que le format transporte, et ce qu'il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un format d'échange sur ce qu'il transporte réellement, et non sur le fait que le fichier s'ouvre.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un format d'échange sur ce qu'il transporte réellement, et non sur le fait que le fichier s'ouvre.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modèle part chez le bureau d'études, qui a besoin des courbes, des calques et des unités. Un fichier qui s'ouvre n'est pas un échange réussi.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six formats vous est fourni, avec ce que chacun transporte. L'échange exige la géométrie, les unités, les calques et les courbes. Donnez le nombre de formats qui conviennent.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formats et, pour chacun, ce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formats répondent aux quatre exigences.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formats convenables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WB-09 — Ce que le format transporte, et ce qu'il perd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