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B-02 — Garde-corps à barreaudage régulier</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B1 · Architecture et construction</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REF-064, REF-047, REF-043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Répartir des éléments sous une contrainte d'espacement LIBRE, en distinguant l'entraxe de l'espace entre matières.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20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A-35, A-12</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14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v0.4-260901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Répartir des éléments à pas maximal imposé, cas classique de calcul d'entraxe.</w:t>
      </w:r>
    </w:p>
    <w:p>
      <w:pPr>
        <w:spacing w:before="200" w:after="60"/>
      </w:pPr>
      <w:r>
        <w:rPr>
          <w:rFonts w:ascii="Calibri" w:hAnsi="Calibri"/>
          <w:b/>
          <w:color w:val="444A52"/>
          <w:sz w:val="22"/>
        </w:rPr>
        <w:t>Contexte</w:t>
      </w:r>
    </w:p>
    <w:p>
      <w:pPr>
        <w:spacing w:before="0" w:after="80"/>
      </w:pPr>
      <w:r>
        <w:rPr>
          <w:rFonts w:ascii="Calibri" w:hAnsi="Calibri"/>
          <w:b w:val="0"/>
          <w:i w:val="0"/>
          <w:sz w:val="21"/>
        </w:rPr>
        <w:t>L'espacement libre d'un garde-corps est une règle de sécurité : c'est le vide qui est mesuré, pas la distance d'axe en axe.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Sur la main courante fournie, place des barreaux verticaux de 16 mm de diamètre. L'espacement libre entre barreaux ne doit jamais dépasser 110 mm. Détermine le nombre de barreaux et affiche l'entraxe réel.</w:t>
            </w:r>
          </w:p>
        </w:tc>
      </w:tr>
    </w:tbl>
    <w:p>
      <w:pPr>
        <w:spacing w:after="0"/>
      </w:pPr>
    </w:p>
    <w:p>
      <w:pPr>
        <w:spacing w:before="80" w:after="40"/>
        <w:jc w:val="center"/>
      </w:pPr>
      <w:r>
        <w:drawing>
          <wp:inline xmlns:a="http://schemas.openxmlformats.org/drawingml/2006/main" xmlns:pic="http://schemas.openxmlformats.org/drawingml/2006/picture">
            <wp:extent cx="5903999" cy="1924886"/>
            <wp:docPr id="1" name="Picture 1"/>
            <wp:cNvGraphicFramePr>
              <a:graphicFrameLocks noChangeAspect="1"/>
            </wp:cNvGraphicFramePr>
            <a:graphic>
              <a:graphicData uri="http://schemas.openxmlformats.org/drawingml/2006/picture">
                <pic:pic>
                  <pic:nvPicPr>
                    <pic:cNvPr id="0" name="B-02_canvas_sujet.png"/>
                    <pic:cNvPicPr/>
                  </pic:nvPicPr>
                  <pic:blipFill>
                    <a:blip r:embed="rId10"/>
                    <a:stretch>
                      <a:fillRect/>
                    </a:stretch>
                  </pic:blipFill>
                  <pic:spPr>
                    <a:xfrm>
                      <a:off x="0" y="0"/>
                      <a:ext cx="5903999" cy="1924886"/>
                    </a:xfrm>
                    <a:prstGeom prst="rect"/>
                  </pic:spPr>
                </pic:pic>
              </a:graphicData>
            </a:graphic>
          </wp:inline>
        </w:drawing>
      </w:r>
    </w:p>
    <w:p>
      <w:pPr>
        <w:spacing w:after="160"/>
        <w:jc w:val="center"/>
      </w:pPr>
      <w:r>
        <w:rPr>
          <w:rFonts w:ascii="Calibri" w:hAnsi="Calibri"/>
          <w:i/>
          <w:color w:val="444A52"/>
          <w:sz w:val="18"/>
        </w:rPr>
        <w:t>Le canvas à l'ouverture de B-02_sujet.gh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Une courbe de main courante et une hauteur de garde-corps internalisées.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25 barreaux, pour un espacement libre de 108 mm.</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2 points pour le barreaudage, 1 point pour le respect strict des 110 mm.</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B-02 — Garde-corps à barreaudage régulier · v0.4-260901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