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B-04 — Pavage hexagonal sur surface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B1 · Architecture et construction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REF-068, REF-069, REF-049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Établir combien d'éléments d'une trame non orthogonale tiennent dans une emprise donnée.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B-03, A-20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Projeter une trame plane sur une surface libre en maîtrisant la structure de données.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bardage hexagonal se commande à l'unité. Le pas d'une trame hexagonale n'est pas son côté.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Applique un pavage hexagonal de 400 mm de côté sur la surface libre fournie, puis extrude chaque hexagone de 60 mm suivant la normale locale de la surface.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924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04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924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B-04_sujet.gh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surface libre internalisée.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130 hexagones.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 points pour le pavage, 2 points pour l'orientation selon les normales.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B-04 — Pavage hexagonal sur surface · v0.4-260901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