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B-10 — Motif gravé développé sur un anneau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un motif répétitif sur un développé, en distinguant la circonférence du diamètre.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Concevoir un motif à plat puis l'enrouler sur une surface de révolution.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motif doit se refermer sur lui-même. Un raccord faux se voit immédiatement, et se voit toujours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Dessine à plat un motif géométrique répétitif de 12 modules, puis applique-le sur la face extérieure d'un anneau de taille 54 et de 4 mm de large. Le motif doit boucler sans rupture.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anneau de révolution internalisé et un module de motif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4,50 mm — la largeur d'un module,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motif, 2 points pour la continuité du raccord.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5049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50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circonférence de l'anneau : diamètre intérieur = 54/π, puis circonférence extérieure.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Diviser cette circonférence par 12 pour obtenir la largeur exacte du module.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motif dans un rectangle de référence exactement de cette largeur.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Répliquer le module 12 fois avec Rectangular Array.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Construire la surface développée de référence (rectangle circonférence × largeur).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Appliquer Surface Morph ou Sporph entre la surface plane et la surface de l'anneau.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Vérifier la continuité au raccord en superposant le premier et le dernier module.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le DIAMÈTRE par le nombre de modules : 1,43 mm. La taille d'un anneau est une circonférence ; la confondre avec un diamètre divise le motif par π, et les douze modules ne couvrent plus qu'un tiers du tour.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Largeur de module arrondie : le raccord présente un décalage cumulé.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diamètre intérieur et diamètre extérieur pour le calcul de circonférence.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Surface de référence et surface cible de proportions différentes : le motif se déforme.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Rectangle, Divide Domain2, Surface Morph, Flow along Surface (Morph), Revolution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circonférence de 54 mm en 12 modules donne exactement 4,5 mm : un compte rond, à dessein — il rend le raccord vérifiable à la règle, et l'erreur d'un facteur π immédiate à 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porte sur le développé. Appliqué sur l'anneau, le motif subit la courbure : sa lisibilité dépend alors de la largeur de l'anneau, que l'exercice ne juge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nombre de modules paramétrable et recalculer automatiquement la largeur.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Graver le motif en creux par Solid Difference.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Adapter au cas d'un anneau de section variable.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B-10 — Motif gravé développé sur un anneau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