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B-10 — Motif gravé développé sur un anneau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REF-115, REF-069,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Répartir un motif répétitif sur un développé, en distinguant la circonférence du diamètre.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B-04, A-42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Concevoir un motif à plat puis l'enrouler sur une surface de révolution.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motif doit se refermer sur lui-même. Un raccord faux se voit immédiatement, et se voit toujours au même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Dessine à plat un motif géométrique répétitif de 12 modules, puis applique-le sur la face extérieure d'un anneau de taille 54 et de 4 mm de large. Le motif doit boucler sans rupture.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anneau de révolution internalisé et un module de motif plan.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4,50 mm — la largeur d'un module,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 motif, 2 points pour la continuité du raccord.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B-10 — Motif gravé développé sur un anneau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