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B-16 — Lampe à lamelles de section variable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B5 · Design produit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REF-064, REF-069, REF-067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Chiffrer une surface développée dont une dimension varie continûment.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A-35, A-41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0.0001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22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Faire varier une section le long d'un parcours par interpolation contrôlée.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tôle de l'abat-jour se commande à plat, au mètre carré. La lamelle est large au milieu et étroite aux extrémités.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Produis un abat-jour composé de 24 lamelles réparties autour d'un axe. Chaque lamelle suit un profil dont la largeur varie de 15 mm aux extrémités à 45 mm au milieu, selon une courbe douce.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88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1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88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B-16_sujet.gh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courbe génératrice internalisée et un slider de nombre de lamelles.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0,3024 m² de surface développée, à 0,0001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0.0001.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pour la variation, 2 points pour la répartition.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B-16 — Lampe à lamelles de section variable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