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GP-13 — La pièce qui enchaîne trois opérations</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GP5 · Synthèse géométrie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REF-073, REF-147, REF-148</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Ordonner congé, perçage et épaississement de sorte que chaque opération reçoive ce dont elle a besoin.</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Créer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22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GP-11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0.0001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11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Ordonner congé, perçage et épaississement de sorte que chaque opération reçoive ce dont elle a besoin.</w:t>
      </w:r>
    </w:p>
    <w:p>
      <w:pPr>
        <w:spacing w:before="200" w:after="60"/>
      </w:pPr>
      <w:r>
        <w:rPr>
          <w:rFonts w:ascii="Calibri" w:hAnsi="Calibri"/>
          <w:b/>
          <w:color w:val="444A52"/>
          <w:sz w:val="22"/>
        </w:rPr>
        <w:t>Contexte</w:t>
      </w:r>
    </w:p>
    <w:p>
      <w:pPr>
        <w:spacing w:before="0" w:after="80"/>
      </w:pPr>
      <w:r>
        <w:rPr>
          <w:rFonts w:ascii="Calibri" w:hAnsi="Calibri"/>
          <w:b w:val="0"/>
          <w:i w:val="0"/>
          <w:sz w:val="21"/>
        </w:rPr>
        <w:t>Une platine de fixation se dessine à plat, se congé, se perce, puis s'épaissit. L'ordre n'est pas indifférent : épaissir d'abord oblige à percer un solide.</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La platine mesure 420 × 260 mm, ses quatre angles portent un congé de 35 mm de rayon, et elle reçoit sept perçages de 26 mm de diamètre. Elle fait 18 mm d'épaisseur. Donnez son volume, en décimètres cubes.</w:t>
            </w:r>
          </w:p>
        </w:tc>
      </w:tr>
    </w:tbl>
    <w:p>
      <w:pPr>
        <w:spacing w:after="0"/>
      </w:pPr>
    </w:p>
    <w:p>
      <w:pPr>
        <w:spacing w:before="80" w:after="40"/>
        <w:jc w:val="center"/>
      </w:pPr>
      <w:r>
        <w:drawing>
          <wp:inline xmlns:a="http://schemas.openxmlformats.org/drawingml/2006/main" xmlns:pic="http://schemas.openxmlformats.org/drawingml/2006/picture">
            <wp:extent cx="5903999" cy="2447197"/>
            <wp:docPr id="1" name="Picture 1"/>
            <wp:cNvGraphicFramePr>
              <a:graphicFrameLocks noChangeAspect="1"/>
            </wp:cNvGraphicFramePr>
            <a:graphic>
              <a:graphicData uri="http://schemas.openxmlformats.org/drawingml/2006/picture">
                <pic:pic>
                  <pic:nvPicPr>
                    <pic:cNvPr id="0" name="GP-13_canvas_sujet.png"/>
                    <pic:cNvPicPr/>
                  </pic:nvPicPr>
                  <pic:blipFill>
                    <a:blip r:embed="rId10"/>
                    <a:stretch>
                      <a:fillRect/>
                    </a:stretch>
                  </pic:blipFill>
                  <pic:spPr>
                    <a:xfrm>
                      <a:off x="0" y="0"/>
                      <a:ext cx="5903999" cy="2447197"/>
                    </a:xfrm>
                    <a:prstGeom prst="rect"/>
                  </pic:spPr>
                </pic:pic>
              </a:graphicData>
            </a:graphic>
          </wp:inline>
        </w:drawing>
      </w:r>
    </w:p>
    <w:p>
      <w:pPr>
        <w:spacing w:after="160"/>
        <w:jc w:val="center"/>
      </w:pPr>
      <w:r>
        <w:rPr>
          <w:rFonts w:ascii="Calibri" w:hAnsi="Calibri"/>
          <w:i/>
          <w:color w:val="444A52"/>
          <w:sz w:val="18"/>
        </w:rPr>
        <w:t>Le canvas à l'ouverture de GP-13_sujet.gh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cotes de la platine, le rayon de congé, le diamètre et le nombre de perçages, l'épaisseur.</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1,8798 dm³, à 0,0001 près.</w:t>
      </w:r>
    </w:p>
    <w:p>
      <w:pPr>
        <w:spacing w:before="0" w:after="80"/>
      </w:pPr>
      <w:r>
        <w:rPr>
          <w:rFonts w:ascii="Calibri" w:hAnsi="Calibri"/>
          <w:b w:val="0"/>
          <w:i/>
          <w:sz w:val="21"/>
        </w:rPr>
        <w:t>Branchez votre résultat sur le paramètre REPONSE. La correction compare cette sortie en mode NumericTolerance, avec une tolérance de 0.0001.</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le volume est juste à 0,0001 dm³.</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GP-13_complet.gh,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788561" cy="6839999"/>
            <wp:docPr id="2" name="Picture 2"/>
            <wp:cNvGraphicFramePr>
              <a:graphicFrameLocks noChangeAspect="1"/>
            </wp:cNvGraphicFramePr>
            <a:graphic>
              <a:graphicData uri="http://schemas.openxmlformats.org/drawingml/2006/picture">
                <pic:pic>
                  <pic:nvPicPr>
                    <pic:cNvPr id="0" name="GP-13_canvas_corrige.png"/>
                    <pic:cNvPicPr/>
                  </pic:nvPicPr>
                  <pic:blipFill>
                    <a:blip r:embed="rId11"/>
                    <a:stretch>
                      <a:fillRect/>
                    </a:stretch>
                  </pic:blipFill>
                  <pic:spPr>
                    <a:xfrm>
                      <a:off x="0" y="0"/>
                      <a:ext cx="5788561" cy="6839999"/>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Calculer l'aire du rectangle plein.</w:t>
      </w:r>
    </w:p>
    <w:p>
      <w:pPr>
        <w:spacing w:after="100"/>
        <w:ind w:left="340"/>
      </w:pPr>
      <w:r>
        <w:rPr>
          <w:rFonts w:ascii="Calibri" w:hAnsi="Calibri"/>
          <w:b/>
          <w:color w:val="2E5C8A"/>
          <w:sz w:val="21"/>
        </w:rPr>
        <w:t xml:space="preserve">Étape 2.  </w:t>
      </w:r>
      <w:r>
        <w:rPr>
          <w:rFonts w:ascii="Calibri" w:hAnsi="Calibri"/>
          <w:sz w:val="21"/>
        </w:rPr>
        <w:t>Retrancher ce que les quatre congés enlèvent : (4 − π) r².</w:t>
      </w:r>
    </w:p>
    <w:p>
      <w:pPr>
        <w:spacing w:after="100"/>
        <w:ind w:left="340"/>
      </w:pPr>
      <w:r>
        <w:rPr>
          <w:rFonts w:ascii="Calibri" w:hAnsi="Calibri"/>
          <w:b/>
          <w:color w:val="2E5C8A"/>
          <w:sz w:val="21"/>
        </w:rPr>
        <w:t xml:space="preserve">Étape 3.  </w:t>
      </w:r>
      <w:r>
        <w:rPr>
          <w:rFonts w:ascii="Calibri" w:hAnsi="Calibri"/>
          <w:sz w:val="21"/>
        </w:rPr>
        <w:t>Retrancher l'aire des sept perçages.</w:t>
      </w:r>
    </w:p>
    <w:p>
      <w:pPr>
        <w:spacing w:after="100"/>
        <w:ind w:left="340"/>
      </w:pPr>
      <w:r>
        <w:rPr>
          <w:rFonts w:ascii="Calibri" w:hAnsi="Calibri"/>
          <w:b/>
          <w:color w:val="2E5C8A"/>
          <w:sz w:val="21"/>
        </w:rPr>
        <w:t xml:space="preserve">Étape 4.  </w:t>
      </w:r>
      <w:r>
        <w:rPr>
          <w:rFonts w:ascii="Calibri" w:hAnsi="Calibri"/>
          <w:sz w:val="21"/>
        </w:rPr>
        <w:t>Multiplier par l'épaisseur, puis convertir.</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Oublier les congés : 1,8987 dm³. Un congé de rayon r retire à chaque angle la différence entre le carré de côté r et le quart de disque, soit (4 − π)r² pour les quatre — ici 1 052 mm², un demi-pour-cent du volume. C'est peu, et c'est précisément pourquoi on ne le voit pas.</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Oublier les congés.</w:t>
      </w:r>
    </w:p>
    <w:p>
      <w:pPr>
        <w:spacing w:after="60"/>
        <w:ind w:left="340"/>
      </w:pPr>
      <w:r>
        <w:rPr>
          <w:rFonts w:ascii="Calibri" w:hAnsi="Calibri"/>
          <w:sz w:val="21"/>
        </w:rPr>
        <w:t>•  Retrancher quatre quarts de disque au lieu de la différence.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Slider, Multiplication, Pi, Subtraction, Division,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congés retirent 1 052 mm² et les perçages 3 717 mm² : les seconds pèsent trois fois plus, ce qui rend l'oubli des premiers d'autant plus facile. Sept perçages, nombre impair, interdisent de retrouver l'aire par symétrie.</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Le volume suppose que les perçages ne rencontrent PAS les congés. Un huitième perçage placé dans un angle recouperait la matière déjà retirée, et la soustraction cesserait d'être une simple somme.</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Faire varier le rayon de congé jusqu'à ce qu'il rencontre un perçage.</w:t>
      </w:r>
    </w:p>
    <w:p>
      <w:pPr>
        <w:spacing w:after="60"/>
        <w:ind w:left="340"/>
      </w:pPr>
      <w:r>
        <w:rPr>
          <w:rFonts w:ascii="Calibri" w:hAnsi="Calibri"/>
          <w:sz w:val="21"/>
        </w:rPr>
        <w:t>•  Chercher l'épaisseur qui donne exactement 2 dm³.</w:t>
      </w:r>
    </w:p>
    <w:p>
      <w:pPr>
        <w:spacing w:before="200" w:after="60"/>
      </w:pPr>
      <w:r>
        <w:rPr>
          <w:rFonts w:ascii="Calibri" w:hAnsi="Calibri"/>
          <w:b/>
          <w:color w:val="444A52"/>
          <w:sz w:val="22"/>
        </w:rPr>
        <w:t>Fichiers de cet exercice</w:t>
      </w:r>
    </w:p>
    <w:p>
      <w:pPr>
        <w:spacing w:after="60"/>
        <w:ind w:left="340"/>
      </w:pPr>
      <w:r>
        <w:rPr>
          <w:rFonts w:ascii="Calibri" w:hAnsi="Calibri"/>
          <w:sz w:val="21"/>
        </w:rPr>
        <w:t>•  GP-13_sujet.gh — énoncé et données de départ, sans le corrigé</w:t>
      </w:r>
    </w:p>
    <w:p>
      <w:pPr>
        <w:spacing w:after="60"/>
        <w:ind w:left="340"/>
      </w:pPr>
      <w:r>
        <w:rPr>
          <w:rFonts w:ascii="Calibri" w:hAnsi="Calibri"/>
          <w:sz w:val="21"/>
        </w:rPr>
        <w:t>•  GP-13_complet.gh — énoncé et corrigé, ce dernier commandé par l'interrupteur</w:t>
      </w:r>
    </w:p>
    <w:p>
      <w:pPr>
        <w:spacing w:after="60"/>
        <w:ind w:left="340"/>
      </w:pPr>
      <w:r>
        <w:rPr>
          <w:rFonts w:ascii="Calibri" w:hAnsi="Calibri"/>
          <w:sz w:val="21"/>
        </w:rPr>
        <w:t>•  GP-13.json — descripteur pour le plugin Magpie</w:t>
      </w:r>
    </w:p>
    <w:p>
      <w:pPr>
        <w:spacing w:after="60"/>
        <w:ind w:left="340"/>
      </w:pPr>
      <w:r>
        <w:rPr>
          <w:rFonts w:ascii="Calibri" w:hAnsi="Calibri"/>
          <w:sz w:val="21"/>
        </w:rPr>
        <w:t>•  GP-13_fiche.docx — la présente fiche</w:t>
      </w:r>
    </w:p>
    <w:p>
      <w:pPr>
        <w:spacing w:after="60"/>
        <w:ind w:left="340"/>
      </w:pPr>
      <w:r>
        <w:rPr>
          <w:rFonts w:ascii="Calibri" w:hAnsi="Calibri"/>
          <w:sz w:val="21"/>
        </w:rPr>
        <w:t>•  GP-13_fiche_sujet.docx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GP-13 — La pièce qui enchaîne trois opérations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