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IA-32 — Ce qu'une demande floue laisse passer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IA1 · Formuler et cadrer une demande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REF-117, REF-119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l'écart entre plusieurs lectures défendables d'une même consigne, pour comprendre ce qu'une spécification doit trancher.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l'écart entre plusieurs lectures défendables d'une même consigne, pour comprendre ce qu'une spécification doit trancher.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« Compte les grandes valeurs » se lit de quatre façons. L'assistant en choisit une, silencieusement, et le résultat est juste au regard de sa lecture.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consigne dit « compte les grandes valeurs » sur les seize relevés fournis. Appliquez-lui quatre lectures : strictement au-dessus de 500, au moins 500, au-dessus de la moyenne, au-dessus de la médiane. Donnez les quatre comptes, dans cet ordre.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93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9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seize relevés et les quatre lectures à appliquer.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quatre comptes, dans l'ordre : 7, 8, 9, 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quatre comptes concordent dans l'ordre.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IA-32 — Ce qu'une demande floue laisse passer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