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PL-14 — Ce que l'ergonomie coûte au démarrage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PL3 · Plugins d'ergonomie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REF-031, REF-032, REF-033, REF-034, REF-035, REF-036, REF-037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Chiffrer le coût d'une panoplie d'ergonomie sans compter deux fois ce qui est déjà installé.</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14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PL-06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Chiffrer le coût d'une panoplie d'ergonomie sans compter deux fois ce qui est déjà installé.</w:t>
      </w:r>
    </w:p>
    <w:p>
      <w:pPr>
        <w:spacing w:before="200" w:after="60"/>
      </w:pPr>
      <w:r>
        <w:rPr>
          <w:rFonts w:ascii="Calibri" w:hAnsi="Calibri"/>
          <w:b/>
          <w:color w:val="444A52"/>
          <w:sz w:val="22"/>
        </w:rPr>
        <w:t>Contexte</w:t>
      </w:r>
    </w:p>
    <w:p>
      <w:pPr>
        <w:spacing w:before="0" w:after="80"/>
      </w:pPr>
      <w:r>
        <w:rPr>
          <w:rFonts w:ascii="Calibri" w:hAnsi="Calibri"/>
          <w:b w:val="0"/>
          <w:i w:val="0"/>
          <w:sz w:val="21"/>
        </w:rPr>
        <w:t>Chaque plugin allonge le démarrage de Rhino. Sur un poste de formation ouvert et fermé dix fois par jour, la panoplie d'ergonomie se paie en secondes d'attente.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relevé donne le temps de chargement de sept plugins, et signale ceux qu'un autre plugin déjà installé exige de toute façon. Donnez le temps AJOUTÉ par la panoplie d'ergonomie, en millisecondes.</w:t>
            </w:r>
          </w:p>
        </w:tc>
      </w:tr>
    </w:tbl>
    <w:p>
      <w:pPr>
        <w:spacing w:after="0"/>
      </w:pPr>
    </w:p>
    <w:p>
      <w:pPr>
        <w:spacing w:before="80" w:after="40"/>
        <w:jc w:val="center"/>
      </w:pPr>
      <w:r>
        <w:drawing>
          <wp:inline xmlns:a="http://schemas.openxmlformats.org/drawingml/2006/main" xmlns:pic="http://schemas.openxmlformats.org/drawingml/2006/picture">
            <wp:extent cx="5903999" cy="2745822"/>
            <wp:docPr id="1" name="Picture 1"/>
            <wp:cNvGraphicFramePr>
              <a:graphicFrameLocks noChangeAspect="1"/>
            </wp:cNvGraphicFramePr>
            <a:graphic>
              <a:graphicData uri="http://schemas.openxmlformats.org/drawingml/2006/picture">
                <pic:pic>
                  <pic:nvPicPr>
                    <pic:cNvPr id="0" name="PL-14_canvas_sujet.png"/>
                    <pic:cNvPicPr/>
                  </pic:nvPicPr>
                  <pic:blipFill>
                    <a:blip r:embed="rId10"/>
                    <a:stretch>
                      <a:fillRect/>
                    </a:stretch>
                  </pic:blipFill>
                  <pic:spPr>
                    <a:xfrm>
                      <a:off x="0" y="0"/>
                      <a:ext cx="5903999" cy="2745822"/>
                    </a:xfrm>
                    <a:prstGeom prst="rect"/>
                  </pic:spPr>
                </pic:pic>
              </a:graphicData>
            </a:graphic>
          </wp:inline>
        </w:drawing>
      </w:r>
    </w:p>
    <w:p>
      <w:pPr>
        <w:spacing w:after="160"/>
        <w:jc w:val="center"/>
      </w:pPr>
      <w:r>
        <w:rPr>
          <w:rFonts w:ascii="Calibri" w:hAnsi="Calibri"/>
          <w:i/>
          <w:color w:val="444A52"/>
          <w:sz w:val="18"/>
        </w:rPr>
        <w:t>Le canvas à l'ouverture de PL-14_sujet.gh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 relevé des sept temps de chargement, et la colonne des dépendances déjà satisfaites.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1 220 ms ajoutés au démarrage.</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total est exact.</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PL-14_complet.gh,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913525"/>
            <wp:docPr id="2" name="Picture 2"/>
            <wp:cNvGraphicFramePr>
              <a:graphicFrameLocks noChangeAspect="1"/>
            </wp:cNvGraphicFramePr>
            <a:graphic>
              <a:graphicData uri="http://schemas.openxmlformats.org/drawingml/2006/picture">
                <pic:pic>
                  <pic:nvPicPr>
                    <pic:cNvPr id="0" name="PL-14_canvas_corrige.png"/>
                    <pic:cNvPicPr/>
                  </pic:nvPicPr>
                  <pic:blipFill>
                    <a:blip r:embed="rId11"/>
                    <a:stretch>
                      <a:fillRect/>
                    </a:stretch>
                  </pic:blipFill>
                  <pic:spPr>
                    <a:xfrm>
                      <a:off x="0" y="0"/>
                      <a:ext cx="5903999" cy="4913525"/>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Isoler la colonne des dépendances déjà satisfaites.</w:t>
      </w:r>
    </w:p>
    <w:p>
      <w:pPr>
        <w:spacing w:after="100"/>
        <w:ind w:left="340"/>
      </w:pPr>
      <w:r>
        <w:rPr>
          <w:rFonts w:ascii="Calibri" w:hAnsi="Calibri"/>
          <w:b/>
          <w:color w:val="2E5C8A"/>
          <w:sz w:val="21"/>
        </w:rPr>
        <w:t xml:space="preserve">Étape 2.  </w:t>
      </w:r>
      <w:r>
        <w:rPr>
          <w:rFonts w:ascii="Calibri" w:hAnsi="Calibri"/>
          <w:sz w:val="21"/>
        </w:rPr>
        <w:t>En prendre la négation.</w:t>
      </w:r>
    </w:p>
    <w:p>
      <w:pPr>
        <w:spacing w:after="100"/>
        <w:ind w:left="340"/>
      </w:pPr>
      <w:r>
        <w:rPr>
          <w:rFonts w:ascii="Calibri" w:hAnsi="Calibri"/>
          <w:b/>
          <w:color w:val="2E5C8A"/>
          <w:sz w:val="21"/>
        </w:rPr>
        <w:t xml:space="preserve">Étape 3.  </w:t>
      </w:r>
      <w:r>
        <w:rPr>
          <w:rFonts w:ascii="Calibri" w:hAnsi="Calibri"/>
          <w:sz w:val="21"/>
        </w:rPr>
        <w:t>Écarter les temps correspondants.</w:t>
      </w:r>
    </w:p>
    <w:p>
      <w:pPr>
        <w:spacing w:after="100"/>
        <w:ind w:left="340"/>
      </w:pPr>
      <w:r>
        <w:rPr>
          <w:rFonts w:ascii="Calibri" w:hAnsi="Calibri"/>
          <w:b/>
          <w:color w:val="2E5C8A"/>
          <w:sz w:val="21"/>
        </w:rPr>
        <w:t xml:space="preserve">Étape 4.  </w:t>
      </w:r>
      <w:r>
        <w:rPr>
          <w:rFonts w:ascii="Calibri" w:hAnsi="Calibri"/>
          <w:sz w:val="21"/>
        </w:rPr>
        <w:t>Sommer ce qui reste.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Tout additionner, Metahopper compris : 1 395 ms. Metahopper est déjà exigé par un plugin fonctionnel installé sur le poste — son chargement n'est pas imputable à l'ergonomie, et le compter revient à facturer deux fois la même seconde.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Sommer les sept temps sans filtrer.</w:t>
      </w:r>
    </w:p>
    <w:p>
      <w:pPr>
        <w:spacing w:after="60"/>
        <w:ind w:left="340"/>
      </w:pPr>
      <w:r>
        <w:rPr>
          <w:rFonts w:ascii="Calibri" w:hAnsi="Calibri"/>
          <w:sz w:val="21"/>
        </w:rPr>
        <w:t>•  Écarter les mauvais, en oubliant la négation.</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Data, Gate Not, Cull Pattern, Mass Addition,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Sept plugins de 95 à 380 ms. L'écart entre les deux réponses est de 175 ms, soit 14 % : assez pour fausser une décision d'équipement, trop peu pour sauter aux yeux.</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Les temps sont des MESURES sur un poste. Ils dépendent du disque, de la version de Rhino et de ce qui est déjà chargé — le classement des plugins entre eux est stable, les valeurs absolues non.</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Chiffrer le coût sur dix démarrages quotidiens.</w:t>
      </w:r>
    </w:p>
    <w:p>
      <w:pPr>
        <w:spacing w:after="60"/>
        <w:ind w:left="340"/>
      </w:pPr>
      <w:r>
        <w:rPr>
          <w:rFonts w:ascii="Calibri" w:hAnsi="Calibri"/>
          <w:sz w:val="21"/>
        </w:rPr>
        <w:t>•  Chercher le plugin dont le retrait gagne le plus.</w:t>
      </w:r>
    </w:p>
    <w:p>
      <w:pPr>
        <w:spacing w:before="200" w:after="60"/>
      </w:pPr>
      <w:r>
        <w:rPr>
          <w:rFonts w:ascii="Calibri" w:hAnsi="Calibri"/>
          <w:b/>
          <w:color w:val="444A52"/>
          <w:sz w:val="22"/>
        </w:rPr>
        <w:t>Fichiers de cet exercice</w:t>
      </w:r>
    </w:p>
    <w:p>
      <w:pPr>
        <w:spacing w:after="60"/>
        <w:ind w:left="340"/>
      </w:pPr>
      <w:r>
        <w:rPr>
          <w:rFonts w:ascii="Calibri" w:hAnsi="Calibri"/>
          <w:sz w:val="21"/>
        </w:rPr>
        <w:t>•  PL-14_sujet.gh — énoncé et données de départ, sans le corrigé</w:t>
      </w:r>
    </w:p>
    <w:p>
      <w:pPr>
        <w:spacing w:after="60"/>
        <w:ind w:left="340"/>
      </w:pPr>
      <w:r>
        <w:rPr>
          <w:rFonts w:ascii="Calibri" w:hAnsi="Calibri"/>
          <w:sz w:val="21"/>
        </w:rPr>
        <w:t>•  PL-14_complet.gh — énoncé et corrigé, ce dernier commandé par l'interrupteur</w:t>
      </w:r>
    </w:p>
    <w:p>
      <w:pPr>
        <w:spacing w:after="60"/>
        <w:ind w:left="340"/>
      </w:pPr>
      <w:r>
        <w:rPr>
          <w:rFonts w:ascii="Calibri" w:hAnsi="Calibri"/>
          <w:sz w:val="21"/>
        </w:rPr>
        <w:t>•  PL-14.json — descripteur pour le plugin Magpie</w:t>
      </w:r>
    </w:p>
    <w:p>
      <w:pPr>
        <w:spacing w:after="60"/>
        <w:ind w:left="340"/>
      </w:pPr>
      <w:r>
        <w:rPr>
          <w:rFonts w:ascii="Calibri" w:hAnsi="Calibri"/>
          <w:sz w:val="21"/>
        </w:rPr>
        <w:t>•  PL-14_fiche.docx — la présente fiche</w:t>
      </w:r>
    </w:p>
    <w:p>
      <w:pPr>
        <w:spacing w:after="60"/>
        <w:ind w:left="340"/>
      </w:pPr>
      <w:r>
        <w:rPr>
          <w:rFonts w:ascii="Calibri" w:hAnsi="Calibri"/>
          <w:sz w:val="21"/>
        </w:rPr>
        <w:t>•  PL-14_fiche_sujet.docx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PL-14 — Ce que l'ergonomie coûte au démarrage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