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PL-14 — Ce que l'ergonomie coûte au démarrage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PL3 · Plugins d'ergonomie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REF-031, REF-032, REF-033, REF-034, REF-035, REF-036, REF-037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le coût d'une panoplie d'ergonomie sans compter deux fois ce qui est déjà installé.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14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PL-06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Chiffrer le coût d'une panoplie d'ergonomie sans compter deux fois ce qui est déjà installé.</w:t>
      </w:r>
    </w:p>
    <w:p>
      <w:pPr>
        <w:spacing w:before="200" w:after="60"/>
      </w:pPr>
      <w:r>
        <w:rPr>
          <w:rFonts w:ascii="Calibri" w:hAnsi="Calibri"/>
          <w:b/>
          <w:color w:val="444A52"/>
          <w:sz w:val="22"/>
        </w:rPr>
        <w:t>Contexte</w:t>
      </w:r>
    </w:p>
    <w:p>
      <w:pPr>
        <w:spacing w:before="0" w:after="80"/>
      </w:pPr>
      <w:r>
        <w:rPr>
          <w:rFonts w:ascii="Calibri" w:hAnsi="Calibri"/>
          <w:b w:val="0"/>
          <w:i w:val="0"/>
          <w:sz w:val="21"/>
        </w:rPr>
        <w:t>Chaque plugin allonge le démarrage de Rhino. Sur un poste de formation ouvert et fermé dix fois par jour, la panoplie d'ergonomie se paie en secondes d'attente.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relevé donne le temps de chargement de sept plugins, et signale ceux qu'un autre plugin déjà installé exige de toute façon. Donnez le temps AJOUTÉ par la panoplie d'ergonomie, en millisecondes.</w:t>
            </w:r>
          </w:p>
        </w:tc>
      </w:tr>
    </w:tbl>
    <w:p>
      <w:pPr>
        <w:spacing w:after="0"/>
      </w:pPr>
    </w:p>
    <w:p>
      <w:pPr>
        <w:spacing w:before="80" w:after="40"/>
        <w:jc w:val="center"/>
      </w:pPr>
      <w:r>
        <w:drawing>
          <wp:inline xmlns:a="http://schemas.openxmlformats.org/drawingml/2006/main" xmlns:pic="http://schemas.openxmlformats.org/drawingml/2006/picture">
            <wp:extent cx="5903999" cy="2745822"/>
            <wp:docPr id="1" name="Picture 1"/>
            <wp:cNvGraphicFramePr>
              <a:graphicFrameLocks noChangeAspect="1"/>
            </wp:cNvGraphicFramePr>
            <a:graphic>
              <a:graphicData uri="http://schemas.openxmlformats.org/drawingml/2006/picture">
                <pic:pic>
                  <pic:nvPicPr>
                    <pic:cNvPr id="0" name="PL-14_canvas_sujet.png"/>
                    <pic:cNvPicPr/>
                  </pic:nvPicPr>
                  <pic:blipFill>
                    <a:blip r:embed="rId10"/>
                    <a:stretch>
                      <a:fillRect/>
                    </a:stretch>
                  </pic:blipFill>
                  <pic:spPr>
                    <a:xfrm>
                      <a:off x="0" y="0"/>
                      <a:ext cx="5903999" cy="2745822"/>
                    </a:xfrm>
                    <a:prstGeom prst="rect"/>
                  </pic:spPr>
                </pic:pic>
              </a:graphicData>
            </a:graphic>
          </wp:inline>
        </w:drawing>
      </w:r>
    </w:p>
    <w:p>
      <w:pPr>
        <w:spacing w:after="160"/>
        <w:jc w:val="center"/>
      </w:pPr>
      <w:r>
        <w:rPr>
          <w:rFonts w:ascii="Calibri" w:hAnsi="Calibri"/>
          <w:i/>
          <w:color w:val="444A52"/>
          <w:sz w:val="18"/>
        </w:rPr>
        <w:t>Le canvas à l'ouverture de PL-14_sujet.gh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relevé des sept temps de chargement, et la colonne des dépendances déjà satisfaites.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1 220 ms ajoutés au démarrage.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total est exact.</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PL-14 — Ce que l'ergonomie coûte au démarrage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