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RH-24 — Les parois trop minces après mise à l'échelle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REF-016, REF-017, REF-018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Confronter un relevé d'épaisseurs à la contrainte machine APRÈS mise à l'échelle, et non avant.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un relevé d'épaisseurs à la contrainte machine APRÈS mise à l'échelle, et non avant.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maquette se réduit pour tenir dans le volume d'impression. Les parois se réduisent avec elle, et celles qui passaient au 1/1 ne passent plus.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donne dix-huit épaisseurs de paroi, en centièmes de millimètre. La pièce sera imprimée à 62 % de sa taille, et la machine ne tient pas sous 1,20 mm. Donnez le nombre de parois qui ne passeront pas.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19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1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dix-huit épaisseurs relevées, le facteur d'échelle et le minimum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parois passent sous le minimum après réduction.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RH-24 — Les parois trop minces après mise à l'échelle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