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RH-26 — Le poids du fichier à envoyer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RH5 · Préparation à l'impression 3D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REF-022, REF-023, REF-024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Prévoir le poids d'un export maillé à partir du nombre de triangles et du format retenu.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12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RH-22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Prévoir le poids d'un export maillé à partir du nombre de triangles et du format retenu.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STL s'envoie à un prestataire. Savoir avant l'export s'il fera sept mégaoctets ou trente-cinq décide du format et du moyen de transmission.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maillage compte 148 520 triangles. Un STL binaire pèse 84 octets d'en-tête plus 50 octets par triangle. Donnez le poids du fichier, en octets.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870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6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8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RH-26_sujet.gh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nombre de triangles du maillage et la structure du format.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7 426 084 octets, soit 7,08 Mo.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poids est exact à l'octet.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RH-26 — Le poids du fichier à envoyer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