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RH-30 — Ce que le filtre de sélection retient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RH1 · Interface et navigation Rhino</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REF-003, REF-004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Prévoir le résultat d'une sélection filtrée en tenant compte de ce qui est verrouillé.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12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RH-01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9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Prévoir le résultat d'une sélection filtrée en tenant compte de ce qui est verrouillé.</w:t>
      </w:r>
    </w:p>
    <w:p>
      <w:pPr>
        <w:spacing w:before="200" w:after="60"/>
      </w:pPr>
      <w:r>
        <w:rPr>
          <w:rFonts w:ascii="Calibri" w:hAnsi="Calibri"/>
          <w:b/>
          <w:color w:val="444A52"/>
          <w:sz w:val="22"/>
        </w:rPr>
        <w:t>Contexte</w:t>
      </w:r>
    </w:p>
    <w:p>
      <w:pPr>
        <w:spacing w:before="0" w:after="80"/>
      </w:pPr>
      <w:r>
        <w:rPr>
          <w:rFonts w:ascii="Calibri" w:hAnsi="Calibri"/>
          <w:b w:val="0"/>
          <w:i w:val="0"/>
          <w:sz w:val="21"/>
        </w:rPr>
        <w:t>Sélectionner par type et par calque est le geste de base d'un fichier bien rangé. Ce qui est verrouillé n'entre pas dans la sélection, et l'oublier fait croire à un fichier incomplet.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L'inventaire donne, pour seize objets, leur type, leur calque et leur état de verrouillage. Donnez le nombre d'objets que retient une sélection des courbes du calque 10-Porteurs.</w:t>
            </w:r>
          </w:p>
        </w:tc>
      </w:tr>
    </w:tbl>
    <w:p>
      <w:pPr>
        <w:spacing w:after="0"/>
      </w:pPr>
    </w:p>
    <w:p>
      <w:pPr>
        <w:spacing w:before="80" w:after="40"/>
        <w:jc w:val="center"/>
      </w:pPr>
      <w:r>
        <w:drawing>
          <wp:inline xmlns:a="http://schemas.openxmlformats.org/drawingml/2006/main" xmlns:pic="http://schemas.openxmlformats.org/drawingml/2006/picture">
            <wp:extent cx="5903999" cy="3874499"/>
            <wp:docPr id="1" name="Picture 1"/>
            <wp:cNvGraphicFramePr>
              <a:graphicFrameLocks noChangeAspect="1"/>
            </wp:cNvGraphicFramePr>
            <a:graphic>
              <a:graphicData uri="http://schemas.openxmlformats.org/drawingml/2006/picture">
                <pic:pic>
                  <pic:nvPicPr>
                    <pic:cNvPr id="0" name="RH-30_canvas_sujet.png"/>
                    <pic:cNvPicPr/>
                  </pic:nvPicPr>
                  <pic:blipFill>
                    <a:blip r:embed="rId10"/>
                    <a:stretch>
                      <a:fillRect/>
                    </a:stretch>
                  </pic:blipFill>
                  <pic:spPr>
                    <a:xfrm>
                      <a:off x="0" y="0"/>
                      <a:ext cx="5903999" cy="3874499"/>
                    </a:xfrm>
                    <a:prstGeom prst="rect"/>
                  </pic:spPr>
                </pic:pic>
              </a:graphicData>
            </a:graphic>
          </wp:inline>
        </w:drawing>
      </w:r>
    </w:p>
    <w:p>
      <w:pPr>
        <w:spacing w:after="160"/>
        <w:jc w:val="center"/>
      </w:pPr>
      <w:r>
        <w:rPr>
          <w:rFonts w:ascii="Calibri" w:hAnsi="Calibri"/>
          <w:i/>
          <w:color w:val="444A52"/>
          <w:sz w:val="18"/>
        </w:rPr>
        <w:t>Le canvas à l'ouverture de RH-30_sujet.gh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L'inventaire des seize objets et de leurs trois attributs.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3 objets sont retenus par la sélection.</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compte est exact.</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RH-30_complet.gh,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5198399"/>
            <wp:docPr id="2" name="Picture 2"/>
            <wp:cNvGraphicFramePr>
              <a:graphicFrameLocks noChangeAspect="1"/>
            </wp:cNvGraphicFramePr>
            <a:graphic>
              <a:graphicData uri="http://schemas.openxmlformats.org/drawingml/2006/picture">
                <pic:pic>
                  <pic:nvPicPr>
                    <pic:cNvPr id="0" name="RH-30_canvas_corrige.png"/>
                    <pic:cNvPicPr/>
                  </pic:nvPicPr>
                  <pic:blipFill>
                    <a:blip r:embed="rId11"/>
                    <a:stretch>
                      <a:fillRect/>
                    </a:stretch>
                  </pic:blipFill>
                  <pic:spPr>
                    <a:xfrm>
                      <a:off x="0" y="0"/>
                      <a:ext cx="5903999" cy="51983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Tester l'égalité du type à « Courbe ».</w:t>
      </w:r>
    </w:p>
    <w:p>
      <w:pPr>
        <w:spacing w:after="100"/>
        <w:ind w:left="340"/>
      </w:pPr>
      <w:r>
        <w:rPr>
          <w:rFonts w:ascii="Calibri" w:hAnsi="Calibri"/>
          <w:b/>
          <w:color w:val="2E5C8A"/>
          <w:sz w:val="21"/>
        </w:rPr>
        <w:t xml:space="preserve">Étape 2.  </w:t>
      </w:r>
      <w:r>
        <w:rPr>
          <w:rFonts w:ascii="Calibri" w:hAnsi="Calibri"/>
          <w:sz w:val="21"/>
        </w:rPr>
        <w:t>Tester l'égalité du calque à « 10-Porteurs ».</w:t>
      </w:r>
    </w:p>
    <w:p>
      <w:pPr>
        <w:spacing w:after="100"/>
        <w:ind w:left="340"/>
      </w:pPr>
      <w:r>
        <w:rPr>
          <w:rFonts w:ascii="Calibri" w:hAnsi="Calibri"/>
          <w:b/>
          <w:color w:val="2E5C8A"/>
          <w:sz w:val="21"/>
        </w:rPr>
        <w:t xml:space="preserve">Étape 3.  </w:t>
      </w:r>
      <w:r>
        <w:rPr>
          <w:rFonts w:ascii="Calibri" w:hAnsi="Calibri"/>
          <w:sz w:val="21"/>
        </w:rPr>
        <w:t>Prendre la négation du verrouillage.</w:t>
      </w:r>
    </w:p>
    <w:p>
      <w:pPr>
        <w:spacing w:after="100"/>
        <w:ind w:left="340"/>
      </w:pPr>
      <w:r>
        <w:rPr>
          <w:rFonts w:ascii="Calibri" w:hAnsi="Calibri"/>
          <w:b/>
          <w:color w:val="2E5C8A"/>
          <w:sz w:val="21"/>
        </w:rPr>
        <w:t xml:space="preserve">Étape 4.  </w:t>
      </w:r>
      <w:r>
        <w:rPr>
          <w:rFonts w:ascii="Calibri" w:hAnsi="Calibri"/>
          <w:sz w:val="21"/>
        </w:rPr>
        <w:t>Combiner les trois par des ET, puis compter.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Ignorer le verrouillage : cinq. Deux courbes du bon calque sont verrouillées et n'entreront jamais dans la sélection — l'apprenant cherche alors pourquoi son compte ne tombe pas, sans penser au cadenas.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Oublier la troisième condition.</w:t>
      </w:r>
    </w:p>
    <w:p>
      <w:pPr>
        <w:spacing w:after="60"/>
        <w:ind w:left="340"/>
      </w:pPr>
      <w:r>
        <w:rPr>
          <w:rFonts w:ascii="Calibri" w:hAnsi="Calibri"/>
          <w:sz w:val="21"/>
        </w:rPr>
        <w:t>•  Employer un OU entre le type et le calque.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Data, Equality, Gate Not, Gate And, Cull Pattern, List Length,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Seize objets répartis sur trois calques et quatre types. Cinq courbes sont sur 10-Porteurs, dont deux verrouillées : les deux réponses sont proches et toutes deux crédibles devant un fichier qu'on découvre.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compte suppose que le verrouillage vient de l'OBJET. Un objet peut aussi être inaccessible parce que son calque est verrouillé, ce que l'inventaire ne distingue pas ici et qui produit le même symptôme.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Compter ce que retiendrait le même filtre après déverrouillage.</w:t>
      </w:r>
    </w:p>
    <w:p>
      <w:pPr>
        <w:spacing w:after="60"/>
        <w:ind w:left="340"/>
      </w:pPr>
      <w:r>
        <w:rPr>
          <w:rFonts w:ascii="Calibri" w:hAnsi="Calibri"/>
          <w:sz w:val="21"/>
        </w:rPr>
        <w:t>•  Donner le calque le mieux fourni en courbes.</w:t>
      </w:r>
    </w:p>
    <w:p>
      <w:pPr>
        <w:spacing w:before="200" w:after="60"/>
      </w:pPr>
      <w:r>
        <w:rPr>
          <w:rFonts w:ascii="Calibri" w:hAnsi="Calibri"/>
          <w:b/>
          <w:color w:val="444A52"/>
          <w:sz w:val="22"/>
        </w:rPr>
        <w:t>Fichiers de cet exercice</w:t>
      </w:r>
    </w:p>
    <w:p>
      <w:pPr>
        <w:spacing w:after="60"/>
        <w:ind w:left="340"/>
      </w:pPr>
      <w:r>
        <w:rPr>
          <w:rFonts w:ascii="Calibri" w:hAnsi="Calibri"/>
          <w:sz w:val="21"/>
        </w:rPr>
        <w:t>•  RH-30_sujet.gh — énoncé et données de départ, sans le corrigé</w:t>
      </w:r>
    </w:p>
    <w:p>
      <w:pPr>
        <w:spacing w:after="60"/>
        <w:ind w:left="340"/>
      </w:pPr>
      <w:r>
        <w:rPr>
          <w:rFonts w:ascii="Calibri" w:hAnsi="Calibri"/>
          <w:sz w:val="21"/>
        </w:rPr>
        <w:t>•  RH-30_complet.gh — énoncé et corrigé, ce dernier commandé par l'interrupteur</w:t>
      </w:r>
    </w:p>
    <w:p>
      <w:pPr>
        <w:spacing w:after="60"/>
        <w:ind w:left="340"/>
      </w:pPr>
      <w:r>
        <w:rPr>
          <w:rFonts w:ascii="Calibri" w:hAnsi="Calibri"/>
          <w:sz w:val="21"/>
        </w:rPr>
        <w:t>•  RH-30.json — descripteur pour le plugin Magpie</w:t>
      </w:r>
    </w:p>
    <w:p>
      <w:pPr>
        <w:spacing w:after="60"/>
        <w:ind w:left="340"/>
      </w:pPr>
      <w:r>
        <w:rPr>
          <w:rFonts w:ascii="Calibri" w:hAnsi="Calibri"/>
          <w:sz w:val="21"/>
        </w:rPr>
        <w:t>•  RH-30_fiche.docx — la présente fiche</w:t>
      </w:r>
    </w:p>
    <w:p>
      <w:pPr>
        <w:spacing w:after="60"/>
        <w:ind w:left="340"/>
      </w:pPr>
      <w:r>
        <w:rPr>
          <w:rFonts w:ascii="Calibri" w:hAnsi="Calibri"/>
          <w:sz w:val="21"/>
        </w:rPr>
        <w:t>•  RH-30_fiche_sujet.docx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RH-30 — Ce que le filtre de sélection retient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