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WB-10 — Ce qu'un format d'échange laisse en route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REF-111, REF-112, REF-158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Savoir, avant d'exporter, quelles propriétés du modèle le format retenu ne transportera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Savoir, avant d'exporter, quelles propriétés du modèle le format retenu ne transportera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Transmettre un modèle à un bureau d'études, c'est choisir ce qu'on accepte de perdre. Le choix se fait avant l'export, pas quand le destinataire signale que les calques ont disparu.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huit propriétés du modèle, les formats qui les transportent. Donnez le nombre de propriétés perdues par un export au format STEP.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19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1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huit propriétés et des formats qui les portent.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propriétés sur 8 sont perdues par un export STEP.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WB-10_complet.gh,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61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Pour chaque propriété, chercher si STEP figure dans sa liste.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Prendre la négation.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propriétés retenues.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ce que STEP CONSERVE — trois — en croyant répondre. La question porte sur la perte, et c'est elle qui décide : un modèle exporté en STEP arrive sans matériaux, sans blocs, sans historique, sans couleurs d'objet et sans maillages.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propriétés conservées.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qu'une propriété peut être portée par plusieurs formats.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Member Index, Gate Not,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propriétés et cinq formats. Le 3DM les porte toutes, ce qui donne au tableau son point de comparaison ; aucun autre format n'en porte plus de quatre, et les pertes diffèrent d'un format à l'autre — DWG en perd quatre, mais pas les mêmes.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tableau raisonne par PROPRIÉTÉ, pas par fidélité. Un STEP transporte la géométrie NURBS, mais un échange réel dégrade aussi les tolérances et peut casser des surfaces trimées : la propriété survit, sa qualité pas toujours.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compte pour DWG, puis pour OBJ.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 format qui préserve le plus de propriétés après le 3DM.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WB-10_fiche_sujet.docx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WB-10 — Ce qu'un format d'échange laisse en route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