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WB-10 — Ce qu'un format d'échange laisse en route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WB3 · Interopérabilité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REF-111, REF-112, REF-158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Savoir, avant d'exporter, quelles propriétés du modèle le format retenu ne transportera pas.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Analyser × factuelle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Perfectionnement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15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WB-09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7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Savoir, avant d'exporter, quelles propriétés du modèle le format retenu ne transportera pas.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Transmettre un modèle à un bureau d'études, c'est choisir ce qu'on accepte de perdre. Le choix se fait avant l'export, pas quand le destinataire signale que les calques ont disparu.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 tableau donne, pour huit propriétés du modèle, les formats qui les transportent. Donnez le nombre de propriétés perdues par un export au format STEP.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51190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B-10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5119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WB-10_sujet.gh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tableau des huit propriétés et des formats qui les portent.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5 propriétés sur 8 sont perdues par un export STEP.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 compte est exact.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WB-10 — Ce qu'un format d'échange laisse en route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