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WB-11 — Le temps de calcul, une fois en ligne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REF-108, REF-109, REF-110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le temps de réponse d'une définition publiée en ligne, en tenant compte de l'écart entre le poste et le serveur.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Estimer le temps de réponse d'une définition publiée en ligne, en tenant compte de l'écart entre le poste et le serveur.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configurateur publié doit répondre en quelques secondes. Ce qui tourne en dix secondes sur le poste du concepteur peut dépasser la limite du service une fois en ligne.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profilage donne le temps de recalcul des vingt-quatre composants sur votre poste, en millisecondes. Le serveur est 2,4 fois plus lent. Donnez le temps de réponse en ligne, en secondes.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04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0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relevé des vingt-quatre temps et le facteur serveur.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25,1736 s de temps de réponse en ligne,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temps est juste à 0,0001 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WB-11_complet.gh,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61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1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6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Sommer les vingt-quatre temps locaux.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Multiplier par le facteur serveur.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Convertir en secondes.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Oublier le facteur serveur : 10,489 s, sous la limite de vingt secondes. La définition est alors publiée, et c'est le premier visiteur qui découvre qu'elle dépasse — le profilage local donne toujours le résultat rassurant.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 facteur.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Multiplier chaque temps puis re-multiplier la somme.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Mass Addition, Multiplication,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Vingt-quatre composants de 20 à 900 ms. Le total local passe sous la limite, le total en ligne la dépasse de cinq secondes : c'est le cas qui décide, et il est invisible tant qu'on ne multiplie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facteur 2,4 est une MOYENNE mesurée. Il varie avec le type d'opération — un maillage et une intersection ne se dégradent pas dans le même rapport — et ne dit rien de la latence réseau, qui s'ajoute au temps de calcul.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les composants à retirer pour tenir sous vingt secondes.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calcul avec un facteur de 1,8.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WB-11 — Le temps de calcul, une fois en ligne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