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FA-02 — Le développé d'une virole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FA2 · Déroulé et mise à plat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REF-115, REF-116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Établir le développé à plat d'une surface réglée et le contrôler par un calcul indépendant.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A-42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Établir le développé à plat d'une surface réglée et le contrôler par un calcul indépendant.</w:t>
      </w:r>
    </w:p>
    <w:p>
      <w:pPr>
        <w:spacing w:before="200" w:after="60"/>
      </w:pPr>
      <w:r>
        <w:rPr>
          <w:rFonts w:ascii="Calibri" w:hAnsi="Calibri"/>
          <w:b/>
          <w:color w:val="444A52"/>
          <w:sz w:val="22"/>
        </w:rPr>
        <w:t>Contexte</w:t>
      </w:r>
    </w:p>
    <w:p>
      <w:pPr>
        <w:spacing w:before="0" w:after="80"/>
      </w:pPr>
      <w:r>
        <w:rPr>
          <w:rFonts w:ascii="Calibri" w:hAnsi="Calibri"/>
          <w:b w:val="0"/>
          <w:i w:val="0"/>
          <w:sz w:val="21"/>
        </w:rPr>
        <w:t>Une virole conique de ventilation se découpe à plat dans la tôle avant d'être roulée.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virole relie un diamètre de 360 mm à un diamètre de 190 mm sur une hauteur de 340 mm. Produisez son développé à plat et donnez la surface développée, en mètres carrés.</w:t>
            </w:r>
          </w:p>
        </w:tc>
      </w:tr>
    </w:tbl>
    <w:p>
      <w:pPr>
        <w:spacing w:after="0"/>
      </w:pPr>
    </w:p>
    <w:p>
      <w:pPr>
        <w:spacing w:before="80" w:after="40"/>
        <w:jc w:val="center"/>
      </w:pPr>
      <w:r>
        <w:drawing>
          <wp:inline xmlns:a="http://schemas.openxmlformats.org/drawingml/2006/main" xmlns:pic="http://schemas.openxmlformats.org/drawingml/2006/picture">
            <wp:extent cx="5903999" cy="1924886"/>
            <wp:docPr id="1" name="Picture 1"/>
            <wp:cNvGraphicFramePr>
              <a:graphicFrameLocks noChangeAspect="1"/>
            </wp:cNvGraphicFramePr>
            <a:graphic>
              <a:graphicData uri="http://schemas.openxmlformats.org/drawingml/2006/picture">
                <pic:pic>
                  <pic:nvPicPr>
                    <pic:cNvPr id="0" name="FA-02_canvas_sujet.png"/>
                    <pic:cNvPicPr/>
                  </pic:nvPicPr>
                  <pic:blipFill>
                    <a:blip r:embed="rId10"/>
                    <a:stretch>
                      <a:fillRect/>
                    </a:stretch>
                  </pic:blipFill>
                  <pic:spPr>
                    <a:xfrm>
                      <a:off x="0" y="0"/>
                      <a:ext cx="5903999" cy="1924886"/>
                    </a:xfrm>
                    <a:prstGeom prst="rect"/>
                  </pic:spPr>
                </pic:pic>
              </a:graphicData>
            </a:graphic>
          </wp:inline>
        </w:drawing>
      </w:r>
    </w:p>
    <w:p>
      <w:pPr>
        <w:spacing w:after="160"/>
        <w:jc w:val="center"/>
      </w:pPr>
      <w:r>
        <w:rPr>
          <w:rFonts w:ascii="Calibri" w:hAnsi="Calibri"/>
          <w:i/>
          <w:color w:val="444A52"/>
          <w:sz w:val="18"/>
        </w:rPr>
        <w:t>Le canvas à l'ouverture de FA-02_sujet.gh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deux rayons et la hauteur, en valeurs réglables.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La surface développée, en mètres carrés, à 0,0001 près.</w:t>
      </w:r>
    </w:p>
    <w:p>
      <w:pPr>
        <w:spacing w:before="0" w:after="80"/>
      </w:pPr>
      <w:r>
        <w:rPr>
          <w:rFonts w:ascii="Calibri" w:hAnsi="Calibri"/>
          <w:b w:val="0"/>
          <w:i/>
          <w:sz w:val="21"/>
        </w:rPr>
        <w:t>Branchez votre résultat sur le paramètre REPONSE. La correction compare cette sortie en mode NumericTolerance, avec une tolérance de 0,0001.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surface développée est juste et si le contrôle par le calcul est fourni.</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FA-02_complet.gh,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572140"/>
            <wp:docPr id="2" name="Picture 2"/>
            <wp:cNvGraphicFramePr>
              <a:graphicFrameLocks noChangeAspect="1"/>
            </wp:cNvGraphicFramePr>
            <a:graphic>
              <a:graphicData uri="http://schemas.openxmlformats.org/drawingml/2006/picture">
                <pic:pic>
                  <pic:nvPicPr>
                    <pic:cNvPr id="0" name="FA-02_canvas_corrige.png"/>
                    <pic:cNvPicPr/>
                  </pic:nvPicPr>
                  <pic:blipFill>
                    <a:blip r:embed="rId11"/>
                    <a:stretch>
                      <a:fillRect/>
                    </a:stretch>
                  </pic:blipFill>
                  <pic:spPr>
                    <a:xfrm>
                      <a:off x="0" y="0"/>
                      <a:ext cx="5903999" cy="457214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Construire la virole comme surface réglée entre les deux cercles.</w:t>
      </w:r>
    </w:p>
    <w:p>
      <w:pPr>
        <w:spacing w:after="100"/>
        <w:ind w:left="340"/>
      </w:pPr>
      <w:r>
        <w:rPr>
          <w:rFonts w:ascii="Calibri" w:hAnsi="Calibri"/>
          <w:b/>
          <w:color w:val="2E5C8A"/>
          <w:sz w:val="21"/>
        </w:rPr>
        <w:t xml:space="preserve">Étape 2.  </w:t>
      </w:r>
      <w:r>
        <w:rPr>
          <w:rFonts w:ascii="Calibri" w:hAnsi="Calibri"/>
          <w:sz w:val="21"/>
        </w:rPr>
        <w:t>La dérouler à plat.</w:t>
      </w:r>
    </w:p>
    <w:p>
      <w:pPr>
        <w:spacing w:after="100"/>
        <w:ind w:left="340"/>
      </w:pPr>
      <w:r>
        <w:rPr>
          <w:rFonts w:ascii="Calibri" w:hAnsi="Calibri"/>
          <w:b/>
          <w:color w:val="2E5C8A"/>
          <w:sz w:val="21"/>
        </w:rPr>
        <w:t xml:space="preserve">Étape 3.  </w:t>
      </w:r>
      <w:r>
        <w:rPr>
          <w:rFonts w:ascii="Calibri" w:hAnsi="Calibri"/>
          <w:sz w:val="21"/>
        </w:rPr>
        <w:t>Mesurer l'aire du développé.</w:t>
      </w:r>
    </w:p>
    <w:p>
      <w:pPr>
        <w:spacing w:after="100"/>
        <w:ind w:left="340"/>
      </w:pPr>
      <w:r>
        <w:rPr>
          <w:rFonts w:ascii="Calibri" w:hAnsi="Calibri"/>
          <w:b/>
          <w:color w:val="2E5C8A"/>
          <w:sz w:val="21"/>
        </w:rPr>
        <w:t xml:space="preserve">Étape 4.  </w:t>
      </w:r>
      <w:r>
        <w:rPr>
          <w:rFonts w:ascii="Calibri" w:hAnsi="Calibri"/>
          <w:sz w:val="21"/>
        </w:rPr>
        <w:t>Contrôler par le calcul : π multiplié par la somme des rayons, multiplié par la génératrice — et non par la hauteur.</w:t>
      </w:r>
    </w:p>
    <w:p>
      <w:pPr>
        <w:spacing w:after="100"/>
        <w:ind w:left="340"/>
      </w:pPr>
      <w:r>
        <w:rPr>
          <w:rFonts w:ascii="Calibri" w:hAnsi="Calibri"/>
          <w:b/>
          <w:color w:val="2E5C8A"/>
          <w:sz w:val="21"/>
        </w:rPr>
        <w:t xml:space="preserve">Étape 5.  </w:t>
      </w:r>
      <w:r>
        <w:rPr>
          <w:rFonts w:ascii="Calibri" w:hAnsi="Calibri"/>
          <w:sz w:val="21"/>
        </w:rPr>
        <w:t>Comparer les deux valeurs : elles doivent coïncider.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Prendre la hauteur pour l'apothème. La génératrice d'un cône tronqué vaut la racine de la hauteur au carré plus l'écart des rayons au carré : ici 340 contre 348 mm. L'écart est de 2 %, assez petit pour passer inaperçu et assez grand pour que la virole ne se referme pas.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Confondre hauteur et génératrice.</w:t>
      </w:r>
    </w:p>
    <w:p>
      <w:pPr>
        <w:spacing w:after="60"/>
        <w:ind w:left="340"/>
      </w:pPr>
      <w:r>
        <w:rPr>
          <w:rFonts w:ascii="Calibri" w:hAnsi="Calibri"/>
          <w:sz w:val="21"/>
        </w:rPr>
        <w:t>•  Dérouler une surface non développable : un cône l'est, une double courbure ne l'est pas, et le résultat serait une approximation silencieuse.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Cone, Unroll Brep, Area,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L'écart des rayons, 85 mm pour 340 de hauteur, place la génératrice juste assez loin de la hauteur pour que la confusion soit détectable au dixième de millimètre carré, sans être grossière.</w:t>
      </w:r>
    </w:p>
    <w:p>
      <w:pPr>
        <w:spacing w:before="200" w:after="60"/>
      </w:pPr>
      <w:r>
        <w:rPr>
          <w:rFonts w:ascii="Calibri" w:hAnsi="Calibri"/>
          <w:b/>
          <w:color w:val="444A52"/>
          <w:sz w:val="22"/>
        </w:rPr>
        <w:t>Pour aller plus loin</w:t>
      </w:r>
    </w:p>
    <w:p>
      <w:pPr>
        <w:spacing w:after="60"/>
        <w:ind w:left="340"/>
      </w:pPr>
      <w:r>
        <w:rPr>
          <w:rFonts w:ascii="Calibri" w:hAnsi="Calibri"/>
          <w:sz w:val="21"/>
        </w:rPr>
        <w:t>•  Ajouter un recouvrement de 15 mm pour la soudure.</w:t>
      </w:r>
    </w:p>
    <w:p>
      <w:pPr>
        <w:spacing w:after="60"/>
        <w:ind w:left="340"/>
      </w:pPr>
      <w:r>
        <w:rPr>
          <w:rFonts w:ascii="Calibri" w:hAnsi="Calibri"/>
          <w:sz w:val="21"/>
        </w:rPr>
        <w:t>•  Passer à une virole excentrée et constater qu'elle ne se déroule plus exactement.</w:t>
      </w:r>
    </w:p>
    <w:p>
      <w:pPr>
        <w:spacing w:before="200" w:after="60"/>
      </w:pPr>
      <w:r>
        <w:rPr>
          <w:rFonts w:ascii="Calibri" w:hAnsi="Calibri"/>
          <w:b/>
          <w:color w:val="444A52"/>
          <w:sz w:val="22"/>
        </w:rPr>
        <w:t>Fichiers de cet exercice</w:t>
      </w:r>
    </w:p>
    <w:p>
      <w:pPr>
        <w:spacing w:after="60"/>
        <w:ind w:left="340"/>
      </w:pPr>
      <w:r>
        <w:rPr>
          <w:rFonts w:ascii="Calibri" w:hAnsi="Calibri"/>
          <w:sz w:val="21"/>
        </w:rPr>
        <w:t>•  FA-02_sujet.gh — énoncé et données de départ, sans le corrigé</w:t>
      </w:r>
    </w:p>
    <w:p>
      <w:pPr>
        <w:spacing w:after="60"/>
        <w:ind w:left="340"/>
      </w:pPr>
      <w:r>
        <w:rPr>
          <w:rFonts w:ascii="Calibri" w:hAnsi="Calibri"/>
          <w:sz w:val="21"/>
        </w:rPr>
        <w:t>•  FA-02_complet.gh — énoncé et corrigé, ce dernier commandé par l'interrupteur</w:t>
      </w:r>
    </w:p>
    <w:p>
      <w:pPr>
        <w:spacing w:after="60"/>
        <w:ind w:left="340"/>
      </w:pPr>
      <w:r>
        <w:rPr>
          <w:rFonts w:ascii="Calibri" w:hAnsi="Calibri"/>
          <w:sz w:val="21"/>
        </w:rPr>
        <w:t>•  FA-02.json — descripteur pour le plugin Magpie</w:t>
      </w:r>
    </w:p>
    <w:p>
      <w:pPr>
        <w:spacing w:after="60"/>
        <w:ind w:left="340"/>
      </w:pPr>
      <w:r>
        <w:rPr>
          <w:rFonts w:ascii="Calibri" w:hAnsi="Calibri"/>
          <w:sz w:val="21"/>
        </w:rPr>
        <w:t>•  FA-02_fiche.docx — la présente fiche</w:t>
      </w:r>
    </w:p>
    <w:p>
      <w:pPr>
        <w:spacing w:after="60"/>
        <w:ind w:left="340"/>
      </w:pPr>
      <w:r>
        <w:rPr>
          <w:rFonts w:ascii="Calibri" w:hAnsi="Calibri"/>
          <w:sz w:val="21"/>
        </w:rPr>
        <w:t>•  FA-02_fiche_sujet.docx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FA-02 — Le développé d'une virole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