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GP-03 — Un maillage qu'on peut imprimer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GP3 · Maillages et SubD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REF-074, REF-075, REF-076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 maillage à partir d'une surface, en maîtriser la finesse, et le rendre exploitable.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5 %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 maillage à partir d'une surface, en maîtriser la finesse, et le rendre exploitable.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pièce de forme libre part en impression : le trancheur n'accepte qu'un maillage fermé, et la finesse décide de la qualité comme du poids du fichier.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surface fournie doit devenir un maillage fermé dont l'écart à la surface d'origine ne dépasse nulle part 0,2 mm. Donnez le nombre de faces du maillage obtenu.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contenant la surface fermée d'origine.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1 024 faces avec les réglages par défaut du mailleur — la correction accepte 5 % autour de cette valeur.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5 %.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l'écart maximal est respecté et le maillage fermé.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GP-03 — Un maillage qu'on peut imprimer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