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C-01 — Enveloppe à brise-soleil orientés selon l'ensoleillement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C1 · Architecture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REF-027, REF-068, REF-095, REF-079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Dimensionner un dispositif d'ombrage à partir de la course solaire, en distinguant ce qui se divise de ce qui se multiplie.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90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B-03, B-04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Construire une enveloppe dont chaque élément réagit à une donnée d'analyse, et justifier le résultat par une mesure.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brise-soleil doit occulter à l'heure la plus chaude sans assombrir le reste de l'année. Sa profondeur est ce qui coûte et ce qui se voit.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La façade sud du bâtiment reçoit 180 lames brise-soleil. Oriente chaque lame perpendiculairement à la direction du soleil au 21 juin à 15 h, puis optimise l'angle moyen pour limiter la surface exposée à 40 % de la surface vitrée tout en préservant au moins 25 % de vue directe.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1263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01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26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C-01_sujet.gh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façade, un vecteur solaire et le contour vitré internalisés.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249,95 mm — la profondeur minimale de lame, à 0,01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4 points géométrie, 3 points indicateurs, 3 points optimisation.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C-01 — Enveloppe à brise-soleil orientés selon l'ensoleillement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