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C-04 — Métré et chiffrage complet d'un module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C1 · Architecture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REF-082, REF-083, REF-084, REF-086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Structurer un devis par lot avec sous-totaux, et le rendre exact au centime.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B-12, B-13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 livrable économique complet à partir d'un modèle, avec traçabilité des hypothèses.</w:t>
      </w:r>
    </w:p>
    <w:p>
      <w:pPr>
        <w:spacing w:before="200" w:after="60"/>
      </w:pPr>
      <w:r>
        <w:rPr>
          <w:rFonts w:ascii="Calibri" w:hAnsi="Calibri"/>
          <w:b/>
          <w:color w:val="444A52"/>
          <w:sz w:val="22"/>
        </w:rPr>
        <w:t>Contexte</w:t>
      </w:r>
    </w:p>
    <w:p>
      <w:pPr>
        <w:spacing w:before="0" w:after="80"/>
      </w:pPr>
      <w:r>
        <w:rPr>
          <w:rFonts w:ascii="Calibri" w:hAnsi="Calibri"/>
          <w:b w:val="0"/>
          <w:i w:val="0"/>
          <w:sz w:val="21"/>
        </w:rPr>
        <w:t>Le devis part au maître d'ouvrage. Un sous-total faux ne se voit pas ; un total faux se voit toujours, et trop tard.</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À partir du module constructif fourni, produis un devis quantitatif estimatif par lot (gros œuvre, menuiserie, second œuvre) avec quantités, unités, prix unitaires et totaux, ainsi qu'un récapitulatif par lot et un total général. Le calcul doit rester juste si l'on modifie les dimensions du module.</w:t>
            </w:r>
          </w:p>
        </w:tc>
      </w:tr>
    </w:tbl>
    <w:p>
      <w:pPr>
        <w:spacing w:after="0"/>
      </w:pPr>
    </w:p>
    <w:p>
      <w:pPr>
        <w:spacing w:before="80" w:after="40"/>
        <w:jc w:val="center"/>
      </w:pPr>
      <w:r>
        <w:drawing>
          <wp:inline xmlns:a="http://schemas.openxmlformats.org/drawingml/2006/main" xmlns:pic="http://schemas.openxmlformats.org/drawingml/2006/picture">
            <wp:extent cx="5903999" cy="3573708"/>
            <wp:docPr id="1" name="Picture 1"/>
            <wp:cNvGraphicFramePr>
              <a:graphicFrameLocks noChangeAspect="1"/>
            </wp:cNvGraphicFramePr>
            <a:graphic>
              <a:graphicData uri="http://schemas.openxmlformats.org/drawingml/2006/picture">
                <pic:pic>
                  <pic:nvPicPr>
                    <pic:cNvPr id="0" name="C-04_canvas_sujet.png"/>
                    <pic:cNvPicPr/>
                  </pic:nvPicPr>
                  <pic:blipFill>
                    <a:blip r:embed="rId10"/>
                    <a:stretch>
                      <a:fillRect/>
                    </a:stretch>
                  </pic:blipFill>
                  <pic:spPr>
                    <a:xfrm>
                      <a:off x="0" y="0"/>
                      <a:ext cx="5903999" cy="3573708"/>
                    </a:xfrm>
                    <a:prstGeom prst="rect"/>
                  </pic:spPr>
                </pic:pic>
              </a:graphicData>
            </a:graphic>
          </wp:inline>
        </w:drawing>
      </w:r>
    </w:p>
    <w:p>
      <w:pPr>
        <w:spacing w:after="160"/>
        <w:jc w:val="center"/>
      </w:pPr>
      <w:r>
        <w:rPr>
          <w:rFonts w:ascii="Calibri" w:hAnsi="Calibri"/>
          <w:i/>
          <w:color w:val="444A52"/>
          <w:sz w:val="18"/>
        </w:rPr>
        <w:t>Le canvas à l'ouverture de C-04_sujet.gh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module constructif complet et une table de prix unitaires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55 099,00 € de total général.</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quantités, 3 points structure du devis, 3 points recalculabilité.</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C-04 — Métré et chiffrage complet d'un module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