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DV-06 — Le plugin qui parle aussi à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DV3 · Compilation et IDE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REF-097, REF-099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compilé rend service dans Grasshopper. On voudrait le même service depuis la ligne de commande Rhino.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avez un .gha qui marche. Que faut-il pour offrir le même service en commande Rhino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Rien : un .gha est déjà chargé par Rhino, la commande suit.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Réécrire le calcul en RhinoScript.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Un plugin .rhp qui déclare la commande, les deux partageant la même bibliothèque de calcul.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Publier le .gha sur le gestionnaire de paquets.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confond « chargé par Rhino » et « exposé dans Rhino » — un .gha vit dans Grasshopper, et la ligne de commande ne connaît pas ses composants. La bonne réponse vaut surtout pour ce qu'elle implique : le calcul ne se duplique pas, il se met dans une bibliothèque que les deux plugins référencent. Sans quoi la commande et le composant divergeront à la première correction.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DV-06_complet.gh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6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DV-06 — Le plugin qui parle aussi à Rhino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