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IA-15 — Relire le graphe qu'un agent a construit</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IA7 · Agents et protocoles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REF-137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Confronter le graphe produit par un agent à la spécification qu'on lui avait donnée, et compter ce qui diverge — plutôt que de juger sur l'aperçu.</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Évaluer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IA-12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Confronter le graphe produit par un agent à la spécification qu'on lui avait donnée, et compter ce qui diverge.</w:t>
      </w:r>
    </w:p>
    <w:p>
      <w:pPr>
        <w:spacing w:before="200" w:after="60"/>
      </w:pPr>
      <w:r>
        <w:rPr>
          <w:rFonts w:ascii="Calibri" w:hAnsi="Calibri"/>
          <w:b/>
          <w:color w:val="444A52"/>
          <w:sz w:val="22"/>
        </w:rPr>
        <w:t>Contexte</w:t>
      </w:r>
    </w:p>
    <w:p>
      <w:pPr>
        <w:spacing w:before="0" w:after="80"/>
      </w:pPr>
      <w:r>
        <w:rPr>
          <w:rFonts w:ascii="Calibri" w:hAnsi="Calibri"/>
          <w:b w:val="0"/>
          <w:i w:val="0"/>
          <w:sz w:val="21"/>
        </w:rPr>
        <w:t>L'agent a construit la définition en trente secondes. L'aperçu montre un volume plausible. C'est précisément le moment où l'on ne vérifie pas.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Vous aviez spécifié neuf liaisons, chacune avec son entrée de destination. Le relevé du graphe produit vous est fourni en regard. Donnez le nombre de liaisons qui ne sont pas conformes à la spécification.</w:t>
            </w:r>
          </w:p>
        </w:tc>
      </w:tr>
    </w:tbl>
    <w:p>
      <w:pPr>
        <w:spacing w:after="0"/>
      </w:pPr>
    </w:p>
    <w:p>
      <w:pPr>
        <w:spacing w:before="80" w:after="40"/>
        <w:jc w:val="center"/>
      </w:pPr>
      <w:r>
        <w:drawing>
          <wp:inline xmlns:a="http://schemas.openxmlformats.org/drawingml/2006/main" xmlns:pic="http://schemas.openxmlformats.org/drawingml/2006/picture">
            <wp:extent cx="5903999" cy="2745822"/>
            <wp:docPr id="1" name="Picture 1"/>
            <wp:cNvGraphicFramePr>
              <a:graphicFrameLocks noChangeAspect="1"/>
            </wp:cNvGraphicFramePr>
            <a:graphic>
              <a:graphicData uri="http://schemas.openxmlformats.org/drawingml/2006/picture">
                <pic:pic>
                  <pic:nvPicPr>
                    <pic:cNvPr id="0" name="IA-15_canvas_sujet.png"/>
                    <pic:cNvPicPr/>
                  </pic:nvPicPr>
                  <pic:blipFill>
                    <a:blip r:embed="rId10"/>
                    <a:stretch>
                      <a:fillRect/>
                    </a:stretch>
                  </pic:blipFill>
                  <pic:spPr>
                    <a:xfrm>
                      <a:off x="0" y="0"/>
                      <a:ext cx="5903999" cy="2745822"/>
                    </a:xfrm>
                    <a:prstGeom prst="rect"/>
                  </pic:spPr>
                </pic:pic>
              </a:graphicData>
            </a:graphic>
          </wp:inline>
        </w:drawing>
      </w:r>
    </w:p>
    <w:p>
      <w:pPr>
        <w:spacing w:after="160"/>
        <w:jc w:val="center"/>
      </w:pPr>
      <w:r>
        <w:rPr>
          <w:rFonts w:ascii="Calibri" w:hAnsi="Calibri"/>
          <w:i/>
          <w:color w:val="444A52"/>
          <w:sz w:val="18"/>
        </w:rPr>
        <w:t>Le canvas à l'ouverture de IA-15_sujet.gh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neuf liaisons demandées et les neuf liaisons produites, chacune avec l'indice de l'entrée de destination.</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3 — trois liaisons aboutissent sur une autre entrée que celle demandée.</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nombre de divergences est juste.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IA-15 — Relire le graphe qu'un agent a construit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