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QT-05 — Le fichier que le fournisseur va lire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QT3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REF-086,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fichier d'échange dont la structure est celle qu'attend le destinataire, en-tête comprise, et savoir combien de lignes il doit contenir avant de l'ouvrir.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fichier d'échange dont la structure est celle qu'attend le destinataire, en-tête comprise, et savoir combien de lignes il doit contenir avant de l'ouvrir.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commande part en CSV vers le fournisseur, qui l'importe automatiquement. Un fichier mal structuré n'est pas rejeté : il est importé de travers.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Vous exportez la commande regroupée de l'exercice précédent au format CSV, avec une ligne d'en-tête nommant les colonnes. Donnez le nombre de lignes que le fichier doit contenir.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de vingt-quatre lignes, et la commande regroupée qui en découle.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 — huit références, plus la ligne d'en-tête.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lignes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Reprendre la commande regroupée par référence.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Compter les références distinctes.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Ajouter la ligne d'en-tête.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Écrire le fichier, et le rouvrir pour vérifier le compte.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Exporter les vingt-quatre lignes du débit (25 avec l'en-tête) ou oublier l'en-tête (8). Le premier fait commander huit références en double ; le second fait lire la première référence comme un nom de colonne, et elle disparaît de la commande.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l'en-tête.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Exporter le débit au lieu de la commande.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Employer la virgule comme séparateur alors que les quantités peuvent être décimales.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Create Set, List Length, Addition, Concatenate,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compte attendu — 9 — ne ressemble ni au nombre de lignes du débit (24) ni au nombre de références (8) : les trois erreurs possibles donnent trois valeurs distinctes, donc lisibles.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des lignes ne dit rien du séparateur ni de l'encodage, qui font échouer autant d'imports. La fiche les signale ; l'exercice ne les valide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colonne d'unité et vérifier que le compte des lignes ne change pas.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Exporter la même commande en XLSX et comparer ce que chaque format garantit.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QT-05 — Le fichier que le fournisseur va lire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