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QT-05 — Le fichier que le fournisseur va lire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QT3 · Export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REF-086, REF-087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 fichier d'échange dont la structure est celle qu'attend le destinataire, en-tête comprise, et savoir combien de lignes il doit contenir avant de l'ouvrir.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fichier d'échange dont la structure est celle qu'attend le destinataire, en-tête comprise, et savoir combien de lignes il doit contenir avant de l'ouvrir.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commande part en CSV vers le fournisseur, qui l'importe automatiquement. Un fichier mal structuré n'est pas rejeté : il est importé de travers.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Vous exportez la commande regroupée de l'exercice précédent au format CSV, avec une ligne d'en-tête nommant les colonnes. Donnez le nombre de lignes que le fichier doit contenir.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débit de vingt-quatre lignes, et la commande regroupée qui en découle.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 — huit références, plus la ligne d'en-tête.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lignes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QT-05 — Le fichier que le fournisseur va lire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