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WB-04 — Ce qu'on expose, et ce qu'on cache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WB1 · Interfaces utilisateur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Distinguer, parmi les entrées d'une définition, celles qui relèvent d'un choix de l'utilisateur de celles qui se déduisent ou qui règlent l'outil.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Distinguer, parmi les entrées d'une définition, celles qui relèvent d'un choix de l'utilisateur de celles qui se déduisent ou qui règlent l'outil.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va être pilotée depuis Rhino par quelqu'un qui n'ouvrira jamais le graphe. Tout ce qu'on expose, il faudra le lui expliquer ; tout ce qu'on cache, il ne pourra plus le régler.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définition du meuble compte quatorze entrées, décrites une à une avec ce qu'elles commandent et ce dont elles dépendent. Donnez le nombre d'entrées à exposer dans l'interface.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des quatorze entrées et leur description.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— les six entrées qui relèvent d'un choix du client.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Classer chaque entrée : choix, grandeur dérivée, ou réglage interne.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Écarter les réglages internes : ils appartiennent à l'auteur de la définition.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Écarter les grandeurs dérivées : les exposer autoriserait des saisies contradictoires.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Compter ce qui reste.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Exposer les quatorze. L'utilisateur peut alors régler la tolérance de couture et la graine aléatoire du placage, et surtout saisir une hauteur de tiroir incompatible avec la hauteur du meuble : trois entrées se DÉDUISENT des autres, et les exposer revient à autoriser deux vérités contradictoires dans la même définition.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Exposer tout ce qui est un curseur.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Exposer une grandeur dérivée « pour laisser le choix », et créer une incohérence silencieuse.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Cacher un vrai choix parce qu'il a une valeur par défaut raisonnable.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Member Index,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Quatorze entrées : six choix, trois grandeurs dérivées, cinq réglages internes. Les trois familles donnent trois réponses distinctes — 6, 9 et 14 — donc trois erreurs lisibles. Les dérivées sont le vrai discriminant : les repérer demande de lire les dépendances, pas seulement les intitulés.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valide un compte, pas une interface. Une interface à six champs mal nommés est aussi inutilisable qu'une interface à quatorze : le nommage se juge en WB-01.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Nommer les six entrées en langage client et poser leurs bornes.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piloter la définition par quelqu'un qui ne connaît pas Grasshopper, et relever ce qu'il demande.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WB-04 — Ce qu'on expose, et ce qu'on cache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