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WB-04 — Ce qu'on expose, et ce qu'on cache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WB1 · Interfaces utilisateur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Distinguer, parmi les entrées d'une définition, celles qui relèvent d'un choix de l'utilisateur de celles qui se déduisent ou qui règlent l'outil.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Distinguer, parmi les entrées d'une définition, celles qui relèvent d'un choix de l'utilisateur de celles qui se déduisent ou qui règlent l'outil.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va être pilotée depuis Rhino par quelqu'un qui n'ouvrira jamais le graphe. Tout ce qu'on expose, il faudra le lui expliquer ; tout ce qu'on cache, il ne pourra plus le régler.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définition du meuble compte quatorze entrées, décrites une à une avec ce qu'elles commandent et ce dont elles dépendent. Donnez le nombre d'entrées à exposer dans l'interface.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quatorze entrées et leur description.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— les six entrées qui relèvent d'un choix du client.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WB-04 — Ce qu'on expose, et ce qu'on cache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