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AV-06 — Ce qu'on demande à l'optimisation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AV2 · Design génératif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REF-153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On veut « la meilleure façade ». L'outil, lui, veut une grandeur à minimiser et des bornes.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client veut « la meilleure façade ». Que posez-vous d'abord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La grandeur à optimiser, ET les contraintes qui bornent les solutions admissibles.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Les contraintes : ce que la façade ne doit en aucun cas faire.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Les paramètres à faire varier : c'est eux qui définissent l'espace.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Le nombre de générations, pour cadrer le temps de calcul.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(c) est le réflexe de celui qui pense en graphe plutôt qu'en projet — les paramètres viennent après, et mal choisis ils ne font qu'agrandir un espace vide. (b) est à moitié juste, et c'est ce qui la rend dangereuse : des contraintes sans objectif rendent un ensemble de solutions admissibles, dont aucune n'est meilleure. Un objectif mal posé produit une solution optimale à un problème que personne n'avait.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AV-06_complet.gh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-06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AV-06 — Ce qu'on demande à l'optimisation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