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WB-09 — Ce que le format transporte, et ce qu'il perd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WB3 · Interopérabilité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REF-158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Choisir un format d'échange sur ce qu'il transporte réellement, et non sur le fait que le fichier s'ouvre.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Évaluer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WB-05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9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Choisir un format d'échange sur ce qu'il transporte réellement, et non sur le fait que le fichier s'ouvre.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modèle part chez le bureau d'études, qui a besoin des courbes, des calques et des unités. Un fichier qui s'ouvre n'est pas un échange réussi.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tableau des six formats vous est fourni, avec ce que chacun transporte. L'échange exige la géométrie, les unités, les calques et les courbes. Donnez le nombre de formats qui conviennent.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9338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B-09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9338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WB-09_sujet.gh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six formats et, pour chacun, ce qu'il transporte.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3 formats répondent aux quatre exigences.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compte des formats convenables est juste.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WB-09_complet.gh,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709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B-09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70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Ne retenir que les colonnes exigées par l'échange.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Pour chaque format, exiger qu'elles soient TOUTES vraies.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Compter.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Retenir tout format qui transporte la géométrie : les six conviennent alors. Le fichier s'ouvrira, la forme sera là, et le bureau d'études redemandera les calques et les unités — c'est-à-dire la moitié du travail de mise en ordre.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Se contenter de la géométrie.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Traiter la liste des exigences comme un « au moins un ».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Booléen, Gate And, Cull Pattern, List Length,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Six formats, dont trois répondent aux quatre exigences et deux échouent sur un seul critère. Les réponses fausses plausibles — 6 si l'on ne regarde que la géométrie, 5 si l'on oublie les courbes — sont distinctes de 3.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Le tableau dit ce que le format PEUT porter. Ce qu'il porte effectivement dépend aussi de l'exportateur et de l'importateur — deux logiciels qui parlent le même format peuvent ne pas s'entendre.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Nommer les formats écartés et le critère qui les écarte.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Refaire le choix pour un échange qui exigerait les matières.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WB-09_sujet.gh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WB-09_complet.gh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WB-09.json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WB-09_fiche.docx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WB-09_fiche_sujet.docx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WB-09 — Ce que le format transporte, et ce qu'il perd · v0.4-260901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