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WB-09 — Ce que le format transporte, et ce qu'il perd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Choisir un format d'échange sur ce qu'il transporte réellement, et non sur le fait que le fichier s'ouvre.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Choisir un format d'échange sur ce qu'il transporte réellement, et non sur le fait que le fichier s'ouvre.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modèle part chez le bureau d'études, qui a besoin des courbes, des calques et des unités. Un fichier qui s'ouvre n'est pas un échange réussi.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des six formats vous est fourni, avec ce que chacun transporte. L'échange exige la géométrie, les unités, les calques et les courbes. Donnez le nombre de formats qui conviennent.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33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3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formats et, pour chacun, ce qu'il transporte.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formats répondent aux quatre exigences.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formats convenables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WB-09 — Ce que le format transporte, et ce qu'il perd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