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C-01 — Enveloppe à brise-soleil orientés selon l'ensoleillement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C1 · Architecture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REF-068, REF-095,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 dispositif d'ombrage à partir de la course solaire, en distinguant ce qui se divise de ce qui se multiplie.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B-03, B-04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enveloppe dont chaque élément réagit à une donnée d'analyse, et justifier le résultat par une mesure.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brise-soleil doit occulter à l'heure la plus chaude sans assombrir le reste de l'année. Sa profondeur est ce qui coûte et ce qui se voit.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sud du bâtiment reçoit 180 lames brise-soleil. Oriente chaque lame perpendiculairement à la direction du soleil au 21 juin à 15 h, puis optimise l'angle moyen pour limiter la surface exposée à 40 % de la surface vitrée tout en préservant au moins 25 % de vue directe.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façade, un vecteur solaire et le contour vitré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249,95 mm — la profondeur minimale de lame,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indicateurs, 3 points optimisation.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C-01 — Enveloppe à brise-soleil orientés selon l'ensoleillement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