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6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diamètre intérieur à partir de la taille française : diamètre = (taille + 40) / 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profil de l'anneau et le révolutionner.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chaton et le panier par balayage et révolution.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Reprendre les griffes de l'exercice B-09 et les répartir par Polar Array.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Unir l'ensemble avec Solid Union et vérifier que le résultat est un solide unique fermé.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 volume total et le multiplier par la masse volumique de l'or 750 (environ 15,6 g/cm³).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hauteur totale par Bounding Box.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Afficher les deux indicateurs avec un test de conformité.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sur la circonférence NOMINALE, celle du doigt : 2,845 g. L'anneau a une épaisseur ; sa fibre moyenne court à mi-épaisseur, donc sur une circonférence plus grande de π fois l'épaisseur. L'écart de 0,17 g dépasse quatre fois la tolérance, et il sous-estime toujours — c'est de l'or qu'on croit économiser et qu'il faudra ajouter.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Solid Union renvoyant plusieurs solides : des éléments ne se touchent pas réellement.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en mm³ multiplié directement par une masse volumique en g/cm³.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Taille de doigt confondue avec le diamètre.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Revolution, Polar Array, Sweep 1, Solid Union, Volume, Multiplication, Collision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Taille 54, section 2,0 × 1,3 mm, or 750 à 15,6 g/cm³ : la masse tombe à 3,011 g pour une limite de 3,2. La marge est de 6 % — assez serrée pour que l'erreur de fibre moyenne compte, assez large pour que la pièce reste faisable.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pavage sur le corps de bague.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le profil pour minimiser la masse à rigidité constante.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vue technique cotée.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