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C-10 — Motif gravé génératif sur bijou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REF-095, REF-069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partition de surface en tenant compte de ce que les séparations consomment.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B-10,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motif non répétitif contrôlé par des règles, puis le graver physiquement.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filet entre cellules doit rester gravable. Trop fin, il disparaît au polissage.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Génère sur le corps de bague un motif de type Voronoï dont les cellules mesurent entre 0,8 et 2,2 mm², sépare les cellules par un filet de 0,25 mm, grave à 0,3 mm de profondeur, et fais en sorte que le motif boucle sans rupture visible.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bague de l'exercice C-08 et un slider de densité de motif.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77 cellules.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motif, 3 points contraintes d'aire, 3 points raccord.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C-10 — Motif gravé génératif sur bijou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