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longueurs des lames réellement posées.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33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3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longueurs : les rangs 0, 3, 6, … 33 du calepinage.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Cull Pattern (Sets &gt; Sequence).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Dans un Panel, saisir le motif True, False, False sur trois lignes.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Relier le Panel sur l'entrée Pattern et la liste sur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motif se répète cycliquement sur toute la liste.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Décaler le motif d'un cran et commencer par déposer la première lame : on obtient encore 12 lames, mais pas les mêmes. L'effectif seul ne suffit donc pas à valider — c'est pourquoi la réponse porte sur les longueurs conservées.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Saisir le motif sur une seule ligne : Grasshopper lit un seul élément.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(motif cyclique) et Cull Index (index explicites).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Cull Pattern, Boolean Toggle,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36 lames de longueurs voisines mais toutes distinctes : un décalage du motif conserve l'effectif de 12 tout en changeant la réponse. C'est pourquoi la validation porte sur les longueurs et non sur le seul comptage.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Douze lames sont posées selon le motif DONNÉ. Que le motif « une sur trois » convienne au calepinage — qu'il tombe juste en rive, qu'il ne crée pas d'alignement disgracieux — est une décision de projet que le comptage ne juge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Un seul composant fait le travail. À terme, mieux vaut l'absorber dans un exercice de calepinage complet que le maintenir isolé.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 motif pour conserver les deux autres tiers.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le motif par une comparaison numérique.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