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A-17 — Fusionner et entrelacer</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 · Listes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REF-042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Entrelacer deux listes selon un motif d'alternance.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A-13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ExactOrderedList — tolérance —</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Entrelacer deux listes selon un motif d'alternance.</w:t>
      </w:r>
    </w:p>
    <w:p>
      <w:pPr>
        <w:spacing w:before="200" w:after="60"/>
      </w:pPr>
      <w:r>
        <w:rPr>
          <w:rFonts w:ascii="Calibri" w:hAnsi="Calibri"/>
          <w:b/>
          <w:color w:val="444A52"/>
          <w:sz w:val="22"/>
        </w:rPr>
        <w:t>Contexte</w:t>
      </w:r>
    </w:p>
    <w:p>
      <w:pPr>
        <w:spacing w:before="0" w:after="80"/>
      </w:pPr>
      <w:r>
        <w:rPr>
          <w:rFonts w:ascii="Calibri" w:hAnsi="Calibri"/>
          <w:b w:val="0"/>
          <w:i w:val="0"/>
          <w:sz w:val="21"/>
        </w:rPr>
        <w:t>Un plateau se compose de lames de deux essences posées en alternance stricte.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Cinq lames de chêne et cinq lames de noyer vous sont fournies dans deux listes séparées, repérées par leur longueur. Produisez l'ordre de pose du plateau, une essence sur deux en commençant par le chêne.</w:t>
            </w:r>
          </w:p>
        </w:tc>
      </w:tr>
    </w:tbl>
    <w:p>
      <w:pPr>
        <w:spacing w:after="0"/>
      </w:pPr>
    </w:p>
    <w:p>
      <w:pPr>
        <w:spacing w:before="80" w:after="40"/>
        <w:jc w:val="center"/>
      </w:pPr>
      <w:r>
        <w:drawing>
          <wp:inline xmlns:a="http://schemas.openxmlformats.org/drawingml/2006/main" xmlns:pic="http://schemas.openxmlformats.org/drawingml/2006/picture">
            <wp:extent cx="5903999" cy="2877400"/>
            <wp:docPr id="1" name="Picture 1"/>
            <wp:cNvGraphicFramePr>
              <a:graphicFrameLocks noChangeAspect="1"/>
            </wp:cNvGraphicFramePr>
            <a:graphic>
              <a:graphicData uri="http://schemas.openxmlformats.org/drawingml/2006/picture">
                <pic:pic>
                  <pic:nvPicPr>
                    <pic:cNvPr id="0" name="A-17_canvas_sujet.png"/>
                    <pic:cNvPicPr/>
                  </pic:nvPicPr>
                  <pic:blipFill>
                    <a:blip r:embed="rId10"/>
                    <a:stretch>
                      <a:fillRect/>
                    </a:stretch>
                  </pic:blipFill>
                  <pic:spPr>
                    <a:xfrm>
                      <a:off x="0" y="0"/>
                      <a:ext cx="5903999" cy="2877400"/>
                    </a:xfrm>
                    <a:prstGeom prst="rect"/>
                  </pic:spPr>
                </pic:pic>
              </a:graphicData>
            </a:graphic>
          </wp:inline>
        </w:drawing>
      </w:r>
    </w:p>
    <w:p>
      <w:pPr>
        <w:spacing w:after="160"/>
        <w:jc w:val="center"/>
      </w:pPr>
      <w:r>
        <w:rPr>
          <w:rFonts w:ascii="Calibri" w:hAnsi="Calibri"/>
          <w:i/>
          <w:color w:val="444A52"/>
          <w:sz w:val="18"/>
        </w:rPr>
        <w:t>Le canvas à l'ouverture de A-17_sujet.gh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longueurs des cinq lames de chêne et des cinq lames de noyer, dans deux listes séparées.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La liste ordonnée des longueurs, dans l'ordre de pose du plateau.</w:t>
      </w:r>
    </w:p>
    <w:p>
      <w:pPr>
        <w:spacing w:before="0" w:after="80"/>
      </w:pPr>
      <w:r>
        <w:rPr>
          <w:rFonts w:ascii="Calibri" w:hAnsi="Calibri"/>
          <w:b w:val="0"/>
          <w:i/>
          <w:sz w:val="21"/>
        </w:rPr>
        <w:t>Branchez votre résultat sur le paramètre REPONSE. La correction compare cette sortie en mode ExactOrderedList.</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l'ordre exact est obtenu.</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A-17 — Fusionner et entrelacer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