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A-26 — Ordre d'évaluation et recalcul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A5 · Comportements implicites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REF-056, REF-090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Deux branches indépendantes du graphe produisent chacune un résultat. Dans quel ordre sont-elles évaluées ? Réponds par QCM et justifie en modifiant un seul slider.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branches indépendantes cohabitent sur un même canvas.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branches indépendantes produisent chacune un résultat. Dans quel ordre sont-elles évaluées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De gauche à droite, selon leur position sur le canvas.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Dans l'ordre où elles ont été créées.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L'ordre entre deux branches indépendantes n'est pas défini ; seules les dépendances imposent un ordre.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Simultanément, sur plusieurs cœurs.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la croyance qui pousse à ranger le canvas pour « corriger » un résultat — un temps perdu considérable. (d) fait espérer un gain de performance qui n'existe pas ici.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A-26_complet.gh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1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6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1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A-26 — Ordre d'évaluation et recalcul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