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A-37 — Déplacer par un vecteur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une translation et l'échelonner, en sachant que la transformation ne consomme pas l'original.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Appliquer une translation et l'échelonner, en sachant que la transformation ne consomme pas l'original.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rangée d'entretoises est répartie sur la hauteur d'un montant.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L'entretoise de base vous est fournie. Remontez-la de 120 mm, puis produisez cinq entretoises supplémentaires échelonnées tous les 24 mm au-dessus d'elle, sans employer de composant de réseau.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A-37_sujet.gh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cercle internalisé dans le plan XY.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entretoises espacées de 24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6 cercles espacés de 24 mm sont produits.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A-37_complet.gh,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348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3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96348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Series avec Start = 0, Step = 24, Count = 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Unit Z et brancher la série sur son entrée Factor.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Move : cercle sur G, liste de vecteurs sur 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Le composant produit 6 cercles : une liste de vecteurs génère une liste de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Croire que la translation déplace l'original et compter cinq entretoises au lieu de six. La transformation produit une copie ; l'original reste dans le flux.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un seul vecteur et attendre plusieurs copies.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que la géométrie d'origine reste visible en plus des copies.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Move, Unit Z, Multiplication, Vector 2Pt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Six entretoises au bon espacement. Le premier décalage de 120 mm et le pas de 24 mm sont des DONNÉES : leur cumul doit tomber sous la hauteur disponible, ce que l'exercice ne vérifie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Décaler selon un vecteur oblique.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Faire varier le rayon en même temps que la hauteur.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A-37_fiche_sujet.docx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A-37 — Déplacer par un vecteur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