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A-41 — Extrusion et surface réglée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Passer d'une courbe à une surface par extrusion et par transition entre profils.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Passer d'une courbe à une surface par extrusion et par transition entre profils.</w:t>
      </w:r>
    </w:p>
    <w:p>
      <w:pPr>
        <w:spacing w:before="200" w:after="60"/>
      </w:pPr>
      <w:r>
        <w:rPr>
          <w:rFonts w:ascii="Calibri" w:hAnsi="Calibri"/>
          <w:b/>
          <w:color w:val="444A52"/>
          <w:sz w:val="22"/>
        </w:rPr>
        <w:t>Contexte</w:t>
      </w:r>
    </w:p>
    <w:p>
      <w:pPr>
        <w:spacing w:before="0" w:after="80"/>
      </w:pPr>
      <w:r>
        <w:rPr>
          <w:rFonts w:ascii="Calibri" w:hAnsi="Calibri"/>
          <w:b w:val="0"/>
          <w:i w:val="0"/>
          <w:sz w:val="21"/>
        </w:rPr>
        <w:t>Une trémie relie deux sections différentes ; un conduit droit relie deux sections identiques.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Deux profils fermés superposés vous sont fournis. Produisez la surface de transition qui les relie, puis, séparément, la surface obtenue en poussant le profil du bas de 200 mm vers le haut. Comparez les deux.</w:t>
            </w:r>
          </w:p>
        </w:tc>
      </w:tr>
    </w:tbl>
    <w:p>
      <w:pPr>
        <w:spacing w:after="0"/>
      </w:pPr>
    </w:p>
    <w:p>
      <w:pPr>
        <w:spacing w:before="80" w:after="40"/>
        <w:jc w:val="center"/>
      </w:pPr>
      <w:r>
        <w:drawing>
          <wp:inline xmlns:a="http://schemas.openxmlformats.org/drawingml/2006/main" xmlns:pic="http://schemas.openxmlformats.org/drawingml/2006/picture">
            <wp:extent cx="5903999" cy="2028381"/>
            <wp:docPr id="1" name="Picture 1"/>
            <wp:cNvGraphicFramePr>
              <a:graphicFrameLocks noChangeAspect="1"/>
            </wp:cNvGraphicFramePr>
            <a:graphic>
              <a:graphicData uri="http://schemas.openxmlformats.org/drawingml/2006/picture">
                <pic:pic>
                  <pic:nvPicPr>
                    <pic:cNvPr id="0" name="A-41_canvas_sujet.png"/>
                    <pic:cNvPicPr/>
                  </pic:nvPicPr>
                  <pic:blipFill>
                    <a:blip r:embed="rId10"/>
                    <a:stretch>
                      <a:fillRect/>
                    </a:stretch>
                  </pic:blipFill>
                  <pic:spPr>
                    <a:xfrm>
                      <a:off x="0" y="0"/>
                      <a:ext cx="5903999" cy="2028381"/>
                    </a:xfrm>
                    <a:prstGeom prst="rect"/>
                  </pic:spPr>
                </pic:pic>
              </a:graphicData>
            </a:graphic>
          </wp:inline>
        </w:drawing>
      </w:r>
    </w:p>
    <w:p>
      <w:pPr>
        <w:spacing w:after="160"/>
        <w:jc w:val="center"/>
      </w:pPr>
      <w:r>
        <w:rPr>
          <w:rFonts w:ascii="Calibri" w:hAnsi="Calibri"/>
          <w:i/>
          <w:color w:val="444A52"/>
          <w:sz w:val="18"/>
        </w:rPr>
        <w:t>Le canvas à l'ouverture de A-41_sujet.gh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profils fermés internalisés à 0 et 300 mm.</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surface de transition et une surface d'extrusion.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A-41 — Extrusion et surface réglée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