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AV-06 — Ce qu'on demande à l'optimisation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veut « la meilleure façade ». L'outil, lui, veut une grandeur à minimiser et des bornes.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veut « la meilleure façade ». Que posez-vous d'abord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La grandeur à optimiser, ET les contraintes qui bornent les solutions admissibles.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Les contraintes : ce que la façade ne doit en aucun cas faire.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Les paramètres à faire varier : c'est eux qui définissent l'espace.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 nombre de générations, pour cadrer le temps de calcul.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est le réflexe de celui qui pense en graphe plutôt qu'en projet — les paramètres viennent après, et mal choisis ils ne font qu'agrandir un espace vide. (b) est à moitié juste, et c'est ce qui la rend dangereuse : des contraintes sans objectif rendent un ensemble de solutions admissibles, dont aucune n'est meilleure. Un objectif mal posé produit une solution optimale à un problème que personne n'avait.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AV-06_complet.gh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AV-06 — Ce qu'on demande à l'optimisation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